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3B90" w14:textId="77777777" w:rsidR="00E01ADB" w:rsidRDefault="00E01ADB" w:rsidP="005E0FA2">
      <w:pPr>
        <w:jc w:val="center"/>
        <w:rPr>
          <w:rFonts w:ascii="Cambria" w:hAnsi="Cambria"/>
        </w:rPr>
      </w:pPr>
      <w:bookmarkStart w:id="0" w:name="_GoBack"/>
      <w:bookmarkEnd w:id="0"/>
      <w:r w:rsidRPr="00945994">
        <w:rPr>
          <w:rFonts w:ascii="Cambria" w:hAnsi="Cambria"/>
        </w:rPr>
        <w:t>Emerging Dialogues Piece</w:t>
      </w:r>
    </w:p>
    <w:p w14:paraId="42AEBFEE" w14:textId="77777777" w:rsidR="00647A1E" w:rsidRPr="00945994" w:rsidRDefault="00647A1E" w:rsidP="005E0FA2">
      <w:pPr>
        <w:jc w:val="center"/>
        <w:rPr>
          <w:rFonts w:ascii="Cambria" w:hAnsi="Cambria"/>
        </w:rPr>
      </w:pPr>
    </w:p>
    <w:p w14:paraId="4505E547" w14:textId="77777777" w:rsidR="00E01ADB" w:rsidRDefault="00647A1E" w:rsidP="00E01ADB">
      <w:pPr>
        <w:jc w:val="center"/>
        <w:rPr>
          <w:rFonts w:ascii="Cambria" w:hAnsi="Cambria"/>
        </w:rPr>
      </w:pPr>
      <w:r>
        <w:rPr>
          <w:rFonts w:ascii="Cambria" w:hAnsi="Cambria"/>
        </w:rPr>
        <w:t>The Principles of our Practice</w:t>
      </w:r>
    </w:p>
    <w:p w14:paraId="0E39AA24" w14:textId="77777777" w:rsidR="00B60680" w:rsidRPr="00945994" w:rsidRDefault="00B60680" w:rsidP="00E01ADB">
      <w:pPr>
        <w:jc w:val="center"/>
        <w:rPr>
          <w:rFonts w:ascii="Cambria" w:hAnsi="Cambria"/>
        </w:rPr>
      </w:pPr>
    </w:p>
    <w:p w14:paraId="5540D648" w14:textId="77777777" w:rsidR="00E01ADB" w:rsidRPr="00945994" w:rsidRDefault="00E01ADB" w:rsidP="00E01ADB">
      <w:pPr>
        <w:jc w:val="center"/>
        <w:rPr>
          <w:rFonts w:ascii="Cambria" w:hAnsi="Cambria"/>
        </w:rPr>
      </w:pPr>
      <w:r w:rsidRPr="00945994">
        <w:rPr>
          <w:rFonts w:ascii="Cambria" w:hAnsi="Cambria"/>
        </w:rPr>
        <w:t>Natasha Jankowski, Director of the National Institute for Learning Outcomes Assessment</w:t>
      </w:r>
    </w:p>
    <w:p w14:paraId="336972A1" w14:textId="77777777" w:rsidR="005E0FA2" w:rsidRPr="00945994" w:rsidRDefault="005E0FA2" w:rsidP="005E0FA2">
      <w:pPr>
        <w:rPr>
          <w:rFonts w:ascii="Cambria" w:hAnsi="Cambria"/>
        </w:rPr>
      </w:pPr>
    </w:p>
    <w:p w14:paraId="6F5F6898" w14:textId="77777777" w:rsidR="005E0FA2" w:rsidRPr="00945994" w:rsidRDefault="005E0FA2" w:rsidP="005E0FA2">
      <w:pPr>
        <w:rPr>
          <w:rFonts w:ascii="Cambria" w:hAnsi="Cambria"/>
        </w:rPr>
      </w:pPr>
      <w:r w:rsidRPr="00945994">
        <w:rPr>
          <w:rFonts w:ascii="Cambria" w:hAnsi="Cambria"/>
        </w:rPr>
        <w:t xml:space="preserve">Assessment as a field of practice has well established principles of </w:t>
      </w:r>
      <w:r w:rsidR="003B1A76" w:rsidRPr="00945994">
        <w:rPr>
          <w:rFonts w:ascii="Cambria" w:hAnsi="Cambria"/>
        </w:rPr>
        <w:t>what “</w:t>
      </w:r>
      <w:r w:rsidRPr="00945994">
        <w:rPr>
          <w:rFonts w:ascii="Cambria" w:hAnsi="Cambria"/>
        </w:rPr>
        <w:t>good</w:t>
      </w:r>
      <w:r w:rsidR="003B1A76" w:rsidRPr="00945994">
        <w:rPr>
          <w:rFonts w:ascii="Cambria" w:hAnsi="Cambria"/>
        </w:rPr>
        <w:t>”</w:t>
      </w:r>
      <w:r w:rsidRPr="00945994">
        <w:rPr>
          <w:rFonts w:ascii="Cambria" w:hAnsi="Cambria"/>
        </w:rPr>
        <w:t xml:space="preserve"> assessment </w:t>
      </w:r>
      <w:r w:rsidR="003B1A76" w:rsidRPr="00945994">
        <w:rPr>
          <w:rFonts w:ascii="Cambria" w:hAnsi="Cambria"/>
        </w:rPr>
        <w:t xml:space="preserve">entails </w:t>
      </w:r>
      <w:r w:rsidRPr="00945994">
        <w:rPr>
          <w:rFonts w:ascii="Cambria" w:hAnsi="Cambria"/>
        </w:rPr>
        <w:t>that have stood the test of time</w:t>
      </w:r>
      <w:r w:rsidR="003B1A76" w:rsidRPr="00945994">
        <w:rPr>
          <w:rFonts w:ascii="Cambria" w:hAnsi="Cambria"/>
        </w:rPr>
        <w:t xml:space="preserve">. </w:t>
      </w:r>
      <w:r w:rsidRPr="00945994">
        <w:rPr>
          <w:rFonts w:ascii="Cambria" w:hAnsi="Cambria"/>
        </w:rPr>
        <w:t xml:space="preserve"> </w:t>
      </w:r>
      <w:r w:rsidR="003B1A76" w:rsidRPr="00945994">
        <w:rPr>
          <w:rFonts w:ascii="Cambria" w:hAnsi="Cambria"/>
        </w:rPr>
        <w:t>In 1992, nine principles were put forward via the American Association of Higher Education (AAHE) Assessment Forum</w:t>
      </w:r>
      <w:r w:rsidR="00E83B0D" w:rsidRPr="00945994">
        <w:rPr>
          <w:rFonts w:ascii="Cambria" w:hAnsi="Cambria"/>
        </w:rPr>
        <w:t>,</w:t>
      </w:r>
      <w:r w:rsidR="003B1A76" w:rsidRPr="00945994">
        <w:rPr>
          <w:rFonts w:ascii="Cambria" w:hAnsi="Cambria"/>
        </w:rPr>
        <w:t xml:space="preserve"> building on prior efforts by campuses to lay out guidelines for the meaningful practice of assessment by synthesizing the work already undertaken</w:t>
      </w:r>
      <w:r w:rsidR="00FC7C6B" w:rsidRPr="00945994">
        <w:rPr>
          <w:rFonts w:ascii="Cambria" w:hAnsi="Cambria"/>
        </w:rPr>
        <w:t>,</w:t>
      </w:r>
      <w:r w:rsidR="003B1A76" w:rsidRPr="00945994">
        <w:rPr>
          <w:rFonts w:ascii="Cambria" w:hAnsi="Cambria"/>
        </w:rPr>
        <w:t xml:space="preserve"> as well as to invite additional statements about responsible and effective assessment efforts. With an illustrious list of authors including Alexander </w:t>
      </w:r>
      <w:proofErr w:type="spellStart"/>
      <w:r w:rsidR="003B1A76" w:rsidRPr="00945994">
        <w:rPr>
          <w:rFonts w:ascii="Cambria" w:hAnsi="Cambria"/>
        </w:rPr>
        <w:t>Astin</w:t>
      </w:r>
      <w:proofErr w:type="spellEnd"/>
      <w:r w:rsidR="003B1A76" w:rsidRPr="00945994">
        <w:rPr>
          <w:rFonts w:ascii="Cambria" w:hAnsi="Cambria"/>
        </w:rPr>
        <w:t xml:space="preserve">, Trudy Banta, Pat Cross, Peter Ewell, Pat Hutchings, Ted Marchese, Margaret Miller, and others, the </w:t>
      </w:r>
      <w:hyperlink r:id="rId4" w:history="1">
        <w:r w:rsidR="00E83B0D" w:rsidRPr="00945994">
          <w:rPr>
            <w:rStyle w:val="Hyperlink"/>
            <w:rFonts w:ascii="Cambria" w:hAnsi="Cambria"/>
            <w:i/>
          </w:rPr>
          <w:t>Principles of</w:t>
        </w:r>
        <w:r w:rsidR="003B1A76" w:rsidRPr="00945994">
          <w:rPr>
            <w:rStyle w:val="Hyperlink"/>
            <w:rFonts w:ascii="Cambria" w:hAnsi="Cambria"/>
            <w:i/>
          </w:rPr>
          <w:t xml:space="preserve"> Good </w:t>
        </w:r>
        <w:r w:rsidR="00E83B0D" w:rsidRPr="00945994">
          <w:rPr>
            <w:rStyle w:val="Hyperlink"/>
            <w:rFonts w:ascii="Cambria" w:hAnsi="Cambria"/>
            <w:i/>
          </w:rPr>
          <w:t>Practice f</w:t>
        </w:r>
        <w:r w:rsidR="003B1A76" w:rsidRPr="00945994">
          <w:rPr>
            <w:rStyle w:val="Hyperlink"/>
            <w:rFonts w:ascii="Cambria" w:hAnsi="Cambria"/>
            <w:i/>
          </w:rPr>
          <w:t>or Assessing Student Learning</w:t>
        </w:r>
      </w:hyperlink>
      <w:r w:rsidR="003B1A76" w:rsidRPr="00945994">
        <w:rPr>
          <w:rFonts w:ascii="Cambria" w:hAnsi="Cambria"/>
        </w:rPr>
        <w:t xml:space="preserve"> provide a compelling counterpoint to the current </w:t>
      </w:r>
      <w:r w:rsidR="00E83B0D" w:rsidRPr="00945994">
        <w:rPr>
          <w:rFonts w:ascii="Cambria" w:hAnsi="Cambria"/>
        </w:rPr>
        <w:t xml:space="preserve">narratives swirling around the disillusionment with assessment of higher education as an industrial and bureaucratic enterprise (see </w:t>
      </w:r>
      <w:hyperlink r:id="rId5" w:history="1">
        <w:r w:rsidR="00E83B0D" w:rsidRPr="00945994">
          <w:rPr>
            <w:rStyle w:val="Hyperlink"/>
            <w:rFonts w:ascii="Cambria" w:hAnsi="Cambria"/>
          </w:rPr>
          <w:t>Gilbert</w:t>
        </w:r>
      </w:hyperlink>
      <w:r w:rsidR="00E83B0D" w:rsidRPr="00945994">
        <w:rPr>
          <w:rFonts w:ascii="Cambria" w:hAnsi="Cambria"/>
        </w:rPr>
        <w:t xml:space="preserve"> and </w:t>
      </w:r>
      <w:hyperlink r:id="rId6" w:history="1">
        <w:r w:rsidR="00E83B0D" w:rsidRPr="00945994">
          <w:rPr>
            <w:rStyle w:val="Hyperlink"/>
            <w:rFonts w:ascii="Cambria" w:hAnsi="Cambria"/>
          </w:rPr>
          <w:t>Worthen</w:t>
        </w:r>
      </w:hyperlink>
      <w:r w:rsidR="00E83B0D" w:rsidRPr="00945994">
        <w:rPr>
          <w:rFonts w:ascii="Cambria" w:hAnsi="Cambria"/>
        </w:rPr>
        <w:t xml:space="preserve"> pieces). The principles open with a discussion of </w:t>
      </w:r>
      <w:r w:rsidR="00BD2492">
        <w:rPr>
          <w:rFonts w:ascii="Cambria" w:hAnsi="Cambria"/>
        </w:rPr>
        <w:t xml:space="preserve">assessment </w:t>
      </w:r>
      <w:r w:rsidR="005D7620">
        <w:rPr>
          <w:rFonts w:ascii="Cambria" w:hAnsi="Cambria"/>
        </w:rPr>
        <w:t>that builds</w:t>
      </w:r>
      <w:r w:rsidR="00E83B0D" w:rsidRPr="00945994">
        <w:rPr>
          <w:rFonts w:ascii="Cambria" w:hAnsi="Cambria"/>
        </w:rPr>
        <w:t xml:space="preserve"> upon the </w:t>
      </w:r>
      <w:r w:rsidR="00BD2492">
        <w:rPr>
          <w:rFonts w:ascii="Cambria" w:hAnsi="Cambria"/>
        </w:rPr>
        <w:t xml:space="preserve">ongoing </w:t>
      </w:r>
      <w:r w:rsidR="00E83B0D" w:rsidRPr="00945994">
        <w:rPr>
          <w:rFonts w:ascii="Cambria" w:hAnsi="Cambria"/>
        </w:rPr>
        <w:t>work of faculty looking at student learning within their courses</w:t>
      </w:r>
      <w:r w:rsidR="00FC7C6B" w:rsidRPr="00945994">
        <w:rPr>
          <w:rFonts w:ascii="Cambria" w:hAnsi="Cambria"/>
        </w:rPr>
        <w:t>,</w:t>
      </w:r>
      <w:r w:rsidR="00E83B0D" w:rsidRPr="00945994">
        <w:rPr>
          <w:rFonts w:ascii="Cambria" w:hAnsi="Cambria"/>
        </w:rPr>
        <w:t xml:space="preserve"> to move towards </w:t>
      </w:r>
      <w:r w:rsidR="00FC7C6B" w:rsidRPr="00945994">
        <w:rPr>
          <w:rFonts w:ascii="Cambria" w:hAnsi="Cambria"/>
        </w:rPr>
        <w:t>examining</w:t>
      </w:r>
      <w:r w:rsidR="00E83B0D" w:rsidRPr="00945994">
        <w:rPr>
          <w:rFonts w:ascii="Cambria" w:hAnsi="Cambria"/>
        </w:rPr>
        <w:t xml:space="preserve"> student learning across courses for a more cumulative picture of how our collective pieces integrate and fit together for o</w:t>
      </w:r>
      <w:r w:rsidR="00FC7C6B" w:rsidRPr="00945994">
        <w:rPr>
          <w:rFonts w:ascii="Cambria" w:hAnsi="Cambria"/>
        </w:rPr>
        <w:t xml:space="preserve">ur learners. The core </w:t>
      </w:r>
      <w:r w:rsidR="00E83B0D" w:rsidRPr="00945994">
        <w:rPr>
          <w:rFonts w:ascii="Cambria" w:hAnsi="Cambria"/>
        </w:rPr>
        <w:t>framing of the document is that the connection between assessment and improvement not be lost in the accountability discussion, asserting that the importance of the work is</w:t>
      </w:r>
      <w:r w:rsidR="00BD2492">
        <w:rPr>
          <w:rFonts w:ascii="Cambria" w:hAnsi="Cambria"/>
        </w:rPr>
        <w:t xml:space="preserve"> on</w:t>
      </w:r>
      <w:r w:rsidR="00E83B0D" w:rsidRPr="00945994">
        <w:rPr>
          <w:rFonts w:ascii="Cambria" w:hAnsi="Cambria"/>
        </w:rPr>
        <w:t xml:space="preserve"> improving student learning. </w:t>
      </w:r>
      <w:r w:rsidR="00FC7C6B" w:rsidRPr="00945994">
        <w:rPr>
          <w:rFonts w:ascii="Cambria" w:hAnsi="Cambria"/>
        </w:rPr>
        <w:t>The vision for the principles is coupled with a vision of the purposes of education, one that is as timely and relevant today as it was in 1992:</w:t>
      </w:r>
    </w:p>
    <w:p w14:paraId="3A3C94D1" w14:textId="77777777" w:rsidR="00C875D9" w:rsidRPr="00945994" w:rsidRDefault="00C875D9" w:rsidP="005E0FA2">
      <w:pPr>
        <w:rPr>
          <w:rFonts w:ascii="Cambria" w:hAnsi="Cambria"/>
        </w:rPr>
      </w:pPr>
    </w:p>
    <w:p w14:paraId="4125EAAC" w14:textId="77777777" w:rsidR="00FC7C6B" w:rsidRPr="00945994" w:rsidRDefault="00FC7C6B" w:rsidP="00FC7C6B">
      <w:pPr>
        <w:ind w:left="720"/>
        <w:rPr>
          <w:rFonts w:ascii="Cambria" w:hAnsi="Cambria"/>
        </w:rPr>
      </w:pPr>
      <w:r w:rsidRPr="00945994">
        <w:rPr>
          <w:rFonts w:ascii="Cambria" w:hAnsi="Cambria"/>
        </w:rPr>
        <w:t>Implicit in the principles that follow is a vision of education that entails high expectations for all students, active forms of learning, coherent curricula, and effective out-of-class opportunities; to these ends, we need assessment</w:t>
      </w:r>
      <w:r w:rsidRPr="00945994">
        <w:rPr>
          <w:rFonts w:ascii="Cambria" w:hAnsi="Cambria" w:cs="Calibri"/>
        </w:rPr>
        <w:t>—</w:t>
      </w:r>
      <w:r w:rsidRPr="00945994">
        <w:rPr>
          <w:rFonts w:ascii="Cambria" w:hAnsi="Cambria"/>
        </w:rPr>
        <w:t>systematic, usable information about student learning</w:t>
      </w:r>
      <w:r w:rsidRPr="00945994">
        <w:rPr>
          <w:rFonts w:ascii="Cambria" w:hAnsi="Cambria" w:cs="Calibri"/>
        </w:rPr>
        <w:t>—</w:t>
      </w:r>
      <w:r w:rsidRPr="00945994">
        <w:rPr>
          <w:rFonts w:ascii="Cambria" w:hAnsi="Cambria"/>
        </w:rPr>
        <w:t>that helps us fulfill our responsibilities to the students who come to us for an education and to the publics whose trust supports our work (AAHE, 1992).</w:t>
      </w:r>
    </w:p>
    <w:p w14:paraId="66A88CAB" w14:textId="77777777" w:rsidR="00FC7C6B" w:rsidRPr="00945994" w:rsidRDefault="00FC7C6B" w:rsidP="005E0FA2">
      <w:pPr>
        <w:rPr>
          <w:rFonts w:ascii="Cambria" w:hAnsi="Cambria"/>
        </w:rPr>
      </w:pPr>
    </w:p>
    <w:p w14:paraId="6B296132" w14:textId="77777777" w:rsidR="00FC7C6B" w:rsidRPr="00945994" w:rsidRDefault="00FC7C6B" w:rsidP="00FC7C6B">
      <w:pPr>
        <w:rPr>
          <w:rFonts w:ascii="Cambria" w:hAnsi="Cambria"/>
        </w:rPr>
      </w:pPr>
      <w:r w:rsidRPr="00945994">
        <w:rPr>
          <w:rFonts w:ascii="Cambria" w:hAnsi="Cambria"/>
        </w:rPr>
        <w:t xml:space="preserve">In addition to the AAHE principles, </w:t>
      </w:r>
      <w:r w:rsidR="00106530" w:rsidRPr="00945994">
        <w:rPr>
          <w:rFonts w:ascii="Cambria" w:hAnsi="Cambria"/>
        </w:rPr>
        <w:t xml:space="preserve">guidelines for meaningful and intentional engagement with assessment </w:t>
      </w:r>
      <w:r w:rsidR="007B5587">
        <w:rPr>
          <w:rFonts w:ascii="Cambria" w:hAnsi="Cambria"/>
        </w:rPr>
        <w:t>continue</w:t>
      </w:r>
      <w:r w:rsidR="002E7028">
        <w:rPr>
          <w:rFonts w:ascii="Cambria" w:hAnsi="Cambria"/>
        </w:rPr>
        <w:t>d</w:t>
      </w:r>
      <w:r w:rsidR="00655EE0" w:rsidRPr="00945994">
        <w:rPr>
          <w:rFonts w:ascii="Cambria" w:hAnsi="Cambria"/>
        </w:rPr>
        <w:t xml:space="preserve"> to be developed</w:t>
      </w:r>
      <w:r w:rsidR="00106530" w:rsidRPr="00945994">
        <w:rPr>
          <w:rFonts w:ascii="Cambria" w:hAnsi="Cambria"/>
        </w:rPr>
        <w:t xml:space="preserve"> in the form of the </w:t>
      </w:r>
      <w:r w:rsidR="00CB5B2E" w:rsidRPr="00945994">
        <w:rPr>
          <w:rFonts w:ascii="Cambria" w:hAnsi="Cambria"/>
        </w:rPr>
        <w:t xml:space="preserve">Principles and Profiles of Good Practice (Banta, Jones, &amp; Black, 2009), </w:t>
      </w:r>
      <w:r w:rsidR="00106530" w:rsidRPr="00945994">
        <w:rPr>
          <w:rFonts w:ascii="Cambria" w:hAnsi="Cambria"/>
        </w:rPr>
        <w:t xml:space="preserve">New Leadership Alliance’s </w:t>
      </w:r>
      <w:hyperlink r:id="rId7" w:history="1">
        <w:r w:rsidR="00106530" w:rsidRPr="00945994">
          <w:rPr>
            <w:rStyle w:val="Hyperlink"/>
            <w:rFonts w:ascii="Cambria" w:hAnsi="Cambria"/>
          </w:rPr>
          <w:t>Committing to Quality: Guidelines for Assessment and Accountability in Higher Education</w:t>
        </w:r>
      </w:hyperlink>
      <w:r w:rsidR="00106530" w:rsidRPr="00945994">
        <w:rPr>
          <w:rFonts w:ascii="Cambria" w:hAnsi="Cambria"/>
        </w:rPr>
        <w:t xml:space="preserve"> (2012), the </w:t>
      </w:r>
      <w:hyperlink r:id="rId8" w:history="1">
        <w:r w:rsidR="00106530" w:rsidRPr="00945994">
          <w:rPr>
            <w:rStyle w:val="Hyperlink"/>
            <w:rFonts w:ascii="Cambria" w:hAnsi="Cambria"/>
          </w:rPr>
          <w:t>Principles for Effective Assessment of Student Achievement</w:t>
        </w:r>
      </w:hyperlink>
      <w:r w:rsidR="00106530" w:rsidRPr="00945994">
        <w:rPr>
          <w:rFonts w:ascii="Cambria" w:hAnsi="Cambria"/>
        </w:rPr>
        <w:t xml:space="preserve"> (WSCUC, 2013) which was endorsed by higher education associations and regional accreditors, </w:t>
      </w:r>
      <w:hyperlink r:id="rId9" w:history="1">
        <w:r w:rsidR="00655EE0" w:rsidRPr="00945994">
          <w:rPr>
            <w:rStyle w:val="Hyperlink"/>
            <w:rFonts w:ascii="Cambria" w:hAnsi="Cambria"/>
          </w:rPr>
          <w:t>Guidelines for Judging the Effectiveness of Assessing Student Learning</w:t>
        </w:r>
      </w:hyperlink>
      <w:r w:rsidR="00655EE0" w:rsidRPr="00945994">
        <w:rPr>
          <w:rFonts w:ascii="Cambria" w:hAnsi="Cambria"/>
        </w:rPr>
        <w:t xml:space="preserve"> (</w:t>
      </w:r>
      <w:proofErr w:type="spellStart"/>
      <w:r w:rsidR="00655EE0" w:rsidRPr="00945994">
        <w:rPr>
          <w:rFonts w:ascii="Cambria" w:hAnsi="Cambria"/>
        </w:rPr>
        <w:t>Braskamp</w:t>
      </w:r>
      <w:proofErr w:type="spellEnd"/>
      <w:r w:rsidR="00655EE0" w:rsidRPr="00945994">
        <w:rPr>
          <w:rFonts w:ascii="Cambria" w:hAnsi="Cambria"/>
        </w:rPr>
        <w:t xml:space="preserve"> &amp; Engberg, 2014), and five principles of </w:t>
      </w:r>
      <w:r w:rsidR="0098129F">
        <w:rPr>
          <w:rFonts w:ascii="Cambria" w:hAnsi="Cambria"/>
        </w:rPr>
        <w:t>practice informed by research from the National Institute for Learning Outcomes Assessment (2016</w:t>
      </w:r>
      <w:r w:rsidR="00655EE0" w:rsidRPr="00945994">
        <w:rPr>
          <w:rFonts w:ascii="Cambria" w:hAnsi="Cambria"/>
        </w:rPr>
        <w:t>).</w:t>
      </w:r>
      <w:r w:rsidR="00BD2492">
        <w:rPr>
          <w:rFonts w:ascii="Cambria" w:hAnsi="Cambria"/>
        </w:rPr>
        <w:t xml:space="preserve"> All to say, as a field</w:t>
      </w:r>
      <w:r w:rsidR="002E7028">
        <w:rPr>
          <w:rFonts w:ascii="Cambria" w:hAnsi="Cambria"/>
        </w:rPr>
        <w:t>,</w:t>
      </w:r>
      <w:r w:rsidR="00BD2492">
        <w:rPr>
          <w:rFonts w:ascii="Cambria" w:hAnsi="Cambria"/>
        </w:rPr>
        <w:t xml:space="preserve"> we have been thinking meaningfully about our work and what drives us as it relates to improving student learning. </w:t>
      </w:r>
    </w:p>
    <w:p w14:paraId="2D82BCA4" w14:textId="77777777" w:rsidR="00FC7C6B" w:rsidRPr="00945994" w:rsidRDefault="00FC7C6B" w:rsidP="005E0FA2">
      <w:pPr>
        <w:rPr>
          <w:rFonts w:ascii="Cambria" w:hAnsi="Cambria"/>
        </w:rPr>
      </w:pPr>
    </w:p>
    <w:p w14:paraId="0B8BB4A0" w14:textId="77777777" w:rsidR="007B5587" w:rsidRDefault="00C875D9" w:rsidP="005E0FA2">
      <w:pPr>
        <w:rPr>
          <w:rFonts w:ascii="Cambria" w:hAnsi="Cambria"/>
        </w:rPr>
      </w:pPr>
      <w:r w:rsidRPr="00945994">
        <w:rPr>
          <w:rFonts w:ascii="Cambria" w:hAnsi="Cambria"/>
        </w:rPr>
        <w:t xml:space="preserve">Not surprisingly, none of </w:t>
      </w:r>
      <w:r w:rsidR="004E2977" w:rsidRPr="00945994">
        <w:rPr>
          <w:rFonts w:ascii="Cambria" w:hAnsi="Cambria"/>
        </w:rPr>
        <w:t>the</w:t>
      </w:r>
      <w:r w:rsidR="0098129F">
        <w:rPr>
          <w:rFonts w:ascii="Cambria" w:hAnsi="Cambria"/>
        </w:rPr>
        <w:t>se</w:t>
      </w:r>
      <w:r w:rsidR="004E2977" w:rsidRPr="00945994">
        <w:rPr>
          <w:rFonts w:ascii="Cambria" w:hAnsi="Cambria"/>
        </w:rPr>
        <w:t xml:space="preserve"> principles or guidelines</w:t>
      </w:r>
      <w:r w:rsidRPr="00945994">
        <w:rPr>
          <w:rFonts w:ascii="Cambria" w:hAnsi="Cambria"/>
        </w:rPr>
        <w:t xml:space="preserve"> supports or endorses the </w:t>
      </w:r>
      <w:r w:rsidR="004E2977" w:rsidRPr="00945994">
        <w:rPr>
          <w:rFonts w:ascii="Cambria" w:hAnsi="Cambria"/>
        </w:rPr>
        <w:t>‘</w:t>
      </w:r>
      <w:r w:rsidRPr="00945994">
        <w:rPr>
          <w:rFonts w:ascii="Cambria" w:hAnsi="Cambria"/>
        </w:rPr>
        <w:t>bane to faculty existence of assessment as administrative burden</w:t>
      </w:r>
      <w:r w:rsidR="004E2977" w:rsidRPr="00945994">
        <w:rPr>
          <w:rFonts w:ascii="Cambria" w:hAnsi="Cambria"/>
        </w:rPr>
        <w:t>’</w:t>
      </w:r>
      <w:r w:rsidRPr="00945994">
        <w:rPr>
          <w:rFonts w:ascii="Cambria" w:hAnsi="Cambria"/>
        </w:rPr>
        <w:t xml:space="preserve"> </w:t>
      </w:r>
      <w:r w:rsidR="0098129F">
        <w:rPr>
          <w:rFonts w:ascii="Cambria" w:hAnsi="Cambria"/>
        </w:rPr>
        <w:t xml:space="preserve">picture </w:t>
      </w:r>
      <w:r w:rsidR="00BD2492">
        <w:rPr>
          <w:rFonts w:ascii="Cambria" w:hAnsi="Cambria"/>
        </w:rPr>
        <w:t xml:space="preserve">painted by </w:t>
      </w:r>
      <w:proofErr w:type="gramStart"/>
      <w:r w:rsidR="00BD2492">
        <w:rPr>
          <w:rFonts w:ascii="Cambria" w:hAnsi="Cambria"/>
        </w:rPr>
        <w:t xml:space="preserve">Gilbert, </w:t>
      </w:r>
      <w:r w:rsidRPr="00945994">
        <w:rPr>
          <w:rFonts w:ascii="Cambria" w:hAnsi="Cambria"/>
        </w:rPr>
        <w:t xml:space="preserve"> </w:t>
      </w:r>
      <w:r w:rsidRPr="00945994">
        <w:rPr>
          <w:rFonts w:ascii="Cambria" w:hAnsi="Cambria"/>
        </w:rPr>
        <w:lastRenderedPageBreak/>
        <w:t>Worthen</w:t>
      </w:r>
      <w:proofErr w:type="gramEnd"/>
      <w:r w:rsidR="00BD2492">
        <w:rPr>
          <w:rFonts w:ascii="Cambria" w:hAnsi="Cambria"/>
        </w:rPr>
        <w:t>, and others</w:t>
      </w:r>
      <w:r w:rsidRPr="00945994">
        <w:rPr>
          <w:rFonts w:ascii="Cambria" w:hAnsi="Cambria"/>
        </w:rPr>
        <w:t>. So why do these tensions exist</w:t>
      </w:r>
      <w:r w:rsidR="007B5587">
        <w:rPr>
          <w:rFonts w:ascii="Cambria" w:hAnsi="Cambria"/>
        </w:rPr>
        <w:t xml:space="preserve"> between administrative burden and teaching and learning approaches to assessment</w:t>
      </w:r>
      <w:r w:rsidRPr="00945994">
        <w:rPr>
          <w:rFonts w:ascii="Cambria" w:hAnsi="Cambria"/>
        </w:rPr>
        <w:t>? Why have we yet to fully realize the principles</w:t>
      </w:r>
      <w:r w:rsidR="00C028E1">
        <w:rPr>
          <w:rFonts w:ascii="Cambria" w:hAnsi="Cambria"/>
        </w:rPr>
        <w:t xml:space="preserve"> of good assessment practice developed from the field</w:t>
      </w:r>
      <w:r w:rsidR="002E7028">
        <w:rPr>
          <w:rFonts w:ascii="Cambria" w:hAnsi="Cambria"/>
        </w:rPr>
        <w:t>? And how are assessment practices unfolding</w:t>
      </w:r>
      <w:r w:rsidRPr="00945994">
        <w:rPr>
          <w:rFonts w:ascii="Cambria" w:hAnsi="Cambria"/>
        </w:rPr>
        <w:t xml:space="preserve"> that provide a way forward to address the ten</w:t>
      </w:r>
      <w:r w:rsidR="007B5587">
        <w:rPr>
          <w:rFonts w:ascii="Cambria" w:hAnsi="Cambria"/>
        </w:rPr>
        <w:t>sions and realize more fully our shared</w:t>
      </w:r>
      <w:r w:rsidRPr="00945994">
        <w:rPr>
          <w:rFonts w:ascii="Cambria" w:hAnsi="Cambria"/>
        </w:rPr>
        <w:t xml:space="preserve"> principles?</w:t>
      </w:r>
      <w:r w:rsidR="00655EE0" w:rsidRPr="00945994">
        <w:rPr>
          <w:rFonts w:ascii="Cambria" w:hAnsi="Cambria"/>
        </w:rPr>
        <w:t xml:space="preserve"> </w:t>
      </w:r>
    </w:p>
    <w:p w14:paraId="099D17D3" w14:textId="77777777" w:rsidR="00BD2492" w:rsidRDefault="00BD2492" w:rsidP="005E0FA2">
      <w:pPr>
        <w:rPr>
          <w:rFonts w:ascii="Cambria" w:hAnsi="Cambria"/>
        </w:rPr>
      </w:pPr>
    </w:p>
    <w:p w14:paraId="6AA7A7E1" w14:textId="77777777" w:rsidR="005820BF" w:rsidRDefault="00655EE0" w:rsidP="005E0FA2">
      <w:pPr>
        <w:rPr>
          <w:rFonts w:ascii="Cambria" w:hAnsi="Cambria"/>
        </w:rPr>
      </w:pPr>
      <w:r w:rsidRPr="00945994">
        <w:rPr>
          <w:rFonts w:ascii="Cambria" w:hAnsi="Cambria"/>
        </w:rPr>
        <w:t>W</w:t>
      </w:r>
      <w:r w:rsidR="00BD2492">
        <w:rPr>
          <w:rFonts w:ascii="Cambria" w:hAnsi="Cambria"/>
        </w:rPr>
        <w:t>hen we looked across our</w:t>
      </w:r>
      <w:r w:rsidRPr="00945994">
        <w:rPr>
          <w:rFonts w:ascii="Cambria" w:hAnsi="Cambria"/>
        </w:rPr>
        <w:t xml:space="preserve"> case studies of assessment practice, we found the </w:t>
      </w:r>
      <w:r w:rsidR="007B5587">
        <w:rPr>
          <w:rFonts w:ascii="Cambria" w:hAnsi="Cambria"/>
        </w:rPr>
        <w:t xml:space="preserve">AAHE </w:t>
      </w:r>
      <w:r w:rsidRPr="00945994">
        <w:rPr>
          <w:rFonts w:ascii="Cambria" w:hAnsi="Cambria"/>
        </w:rPr>
        <w:t xml:space="preserve">principles in use but still under development (Kinzie, Jankowski, &amp; </w:t>
      </w:r>
      <w:proofErr w:type="spellStart"/>
      <w:r w:rsidRPr="00945994">
        <w:rPr>
          <w:rFonts w:ascii="Cambria" w:hAnsi="Cambria"/>
        </w:rPr>
        <w:t>Provezis</w:t>
      </w:r>
      <w:proofErr w:type="spellEnd"/>
      <w:r w:rsidRPr="00945994">
        <w:rPr>
          <w:rFonts w:ascii="Cambria" w:hAnsi="Cambria"/>
        </w:rPr>
        <w:t>, 2014). The principles</w:t>
      </w:r>
      <w:r w:rsidR="00BD2492">
        <w:rPr>
          <w:rFonts w:ascii="Cambria" w:hAnsi="Cambria"/>
        </w:rPr>
        <w:t xml:space="preserve"> lay out the vision to guide our</w:t>
      </w:r>
      <w:r w:rsidRPr="00945994">
        <w:rPr>
          <w:rFonts w:ascii="Cambria" w:hAnsi="Cambria"/>
        </w:rPr>
        <w:t xml:space="preserve"> work, but there are various tensions that provide road blocks to progress</w:t>
      </w:r>
      <w:r w:rsidR="005820BF">
        <w:rPr>
          <w:rFonts w:ascii="Cambria" w:hAnsi="Cambria"/>
        </w:rPr>
        <w:t xml:space="preserve"> – namely a compliance mentality driven by external accountability efforts</w:t>
      </w:r>
      <w:r w:rsidRPr="00945994">
        <w:rPr>
          <w:rFonts w:ascii="Cambria" w:hAnsi="Cambria"/>
        </w:rPr>
        <w:t>.</w:t>
      </w:r>
      <w:r w:rsidR="007B5587">
        <w:rPr>
          <w:rFonts w:ascii="Cambria" w:hAnsi="Cambria"/>
        </w:rPr>
        <w:t xml:space="preserve"> In the National Institute for Learning Outcomes Assessment (NILOA) surveys of the field, regional accreditation remains the top driver of assessment efforts (</w:t>
      </w:r>
      <w:r w:rsidR="007B1D72">
        <w:rPr>
          <w:rFonts w:ascii="Cambria" w:hAnsi="Cambria"/>
        </w:rPr>
        <w:t xml:space="preserve">Kuh &amp; </w:t>
      </w:r>
      <w:proofErr w:type="spellStart"/>
      <w:r w:rsidR="007B1D72">
        <w:rPr>
          <w:rFonts w:ascii="Cambria" w:hAnsi="Cambria"/>
        </w:rPr>
        <w:t>Ikenberry</w:t>
      </w:r>
      <w:proofErr w:type="spellEnd"/>
      <w:r w:rsidR="007B1D72">
        <w:rPr>
          <w:rFonts w:ascii="Cambria" w:hAnsi="Cambria"/>
        </w:rPr>
        <w:t xml:space="preserve">, 2009; </w:t>
      </w:r>
      <w:r w:rsidR="001E02F9">
        <w:rPr>
          <w:rFonts w:ascii="Cambria" w:hAnsi="Cambria"/>
        </w:rPr>
        <w:t xml:space="preserve">Kuh, Jankowski, </w:t>
      </w:r>
      <w:proofErr w:type="spellStart"/>
      <w:r w:rsidR="001E02F9">
        <w:rPr>
          <w:rFonts w:ascii="Cambria" w:hAnsi="Cambria"/>
        </w:rPr>
        <w:t>Ikenberry</w:t>
      </w:r>
      <w:proofErr w:type="spellEnd"/>
      <w:r w:rsidR="001E02F9">
        <w:rPr>
          <w:rFonts w:ascii="Cambria" w:hAnsi="Cambria"/>
        </w:rPr>
        <w:t>, &amp; Kinzie, 2014; Jankowski, Timmer, Kinzie, &amp; Kuh, 2018</w:t>
      </w:r>
      <w:r w:rsidR="007B5587">
        <w:rPr>
          <w:rFonts w:ascii="Cambria" w:hAnsi="Cambria"/>
        </w:rPr>
        <w:t>)</w:t>
      </w:r>
      <w:r w:rsidR="0098129F">
        <w:rPr>
          <w:rFonts w:ascii="Cambria" w:hAnsi="Cambria"/>
        </w:rPr>
        <w:t xml:space="preserve">. This is not new, </w:t>
      </w:r>
      <w:r w:rsidR="00C028E1">
        <w:rPr>
          <w:rFonts w:ascii="Cambria" w:hAnsi="Cambria"/>
        </w:rPr>
        <w:t xml:space="preserve">in 2009, </w:t>
      </w:r>
      <w:r w:rsidR="0098129F">
        <w:rPr>
          <w:rFonts w:ascii="Cambria" w:hAnsi="Cambria"/>
        </w:rPr>
        <w:t>P</w:t>
      </w:r>
      <w:r w:rsidR="00C028E1">
        <w:rPr>
          <w:rFonts w:ascii="Cambria" w:hAnsi="Cambria"/>
        </w:rPr>
        <w:t>eter Ewell</w:t>
      </w:r>
      <w:r w:rsidR="005820BF">
        <w:rPr>
          <w:rFonts w:ascii="Cambria" w:hAnsi="Cambria"/>
        </w:rPr>
        <w:t xml:space="preserve"> </w:t>
      </w:r>
      <w:r w:rsidR="0098129F">
        <w:rPr>
          <w:rFonts w:ascii="Cambria" w:hAnsi="Cambria"/>
        </w:rPr>
        <w:t>wrote about the tensions between external accountability drivers to assessment practices and internal improvement</w:t>
      </w:r>
      <w:r w:rsidR="00C028E1">
        <w:rPr>
          <w:rFonts w:ascii="Cambria" w:hAnsi="Cambria"/>
        </w:rPr>
        <w:t xml:space="preserve"> building on a paper addressing the same topic from the 1980s</w:t>
      </w:r>
      <w:r w:rsidR="0098129F">
        <w:rPr>
          <w:rFonts w:ascii="Cambria" w:hAnsi="Cambria"/>
        </w:rPr>
        <w:t xml:space="preserve">. </w:t>
      </w:r>
      <w:r w:rsidR="005820BF">
        <w:rPr>
          <w:rFonts w:ascii="Cambria" w:hAnsi="Cambria"/>
        </w:rPr>
        <w:t xml:space="preserve">While it is easy to say, </w:t>
      </w:r>
      <w:r w:rsidR="002E7028">
        <w:rPr>
          <w:rFonts w:ascii="Cambria" w:hAnsi="Cambria"/>
        </w:rPr>
        <w:t>“</w:t>
      </w:r>
      <w:r w:rsidR="005820BF">
        <w:rPr>
          <w:rFonts w:ascii="Cambria" w:hAnsi="Cambria"/>
        </w:rPr>
        <w:t>focus on improvement and you will have what you need to address external accountability,</w:t>
      </w:r>
      <w:r w:rsidR="002E7028">
        <w:rPr>
          <w:rFonts w:ascii="Cambria" w:hAnsi="Cambria"/>
        </w:rPr>
        <w:t>”</w:t>
      </w:r>
      <w:r w:rsidR="005820BF">
        <w:rPr>
          <w:rFonts w:ascii="Cambria" w:hAnsi="Cambria"/>
        </w:rPr>
        <w:t xml:space="preserve"> if the requirements for what counts as evidence for improvement and accountability don’t match or if administrative support is not on the same page regarding why assessment is undertaken, then realizing the connection between the two becomes increasingly difficult. </w:t>
      </w:r>
    </w:p>
    <w:p w14:paraId="3CE065B7" w14:textId="77777777" w:rsidR="005820BF" w:rsidRDefault="005820BF" w:rsidP="005E0FA2">
      <w:pPr>
        <w:rPr>
          <w:rFonts w:ascii="Cambria" w:hAnsi="Cambria"/>
        </w:rPr>
      </w:pPr>
    </w:p>
    <w:p w14:paraId="07AAE471" w14:textId="77777777" w:rsidR="005820BF" w:rsidRDefault="005820BF" w:rsidP="005E0FA2">
      <w:pPr>
        <w:rPr>
          <w:rFonts w:ascii="Cambria" w:hAnsi="Cambria"/>
        </w:rPr>
      </w:pPr>
      <w:r>
        <w:rPr>
          <w:rFonts w:ascii="Cambria" w:hAnsi="Cambria"/>
        </w:rPr>
        <w:t>Elsewhere, I wrote about different mentalities</w:t>
      </w:r>
      <w:r w:rsidR="00EB7887">
        <w:rPr>
          <w:rFonts w:ascii="Cambria" w:hAnsi="Cambria"/>
        </w:rPr>
        <w:t>,</w:t>
      </w:r>
      <w:r>
        <w:rPr>
          <w:rFonts w:ascii="Cambria" w:hAnsi="Cambria"/>
        </w:rPr>
        <w:t xml:space="preserve"> or lenses</w:t>
      </w:r>
      <w:r w:rsidR="00EB7887">
        <w:rPr>
          <w:rFonts w:ascii="Cambria" w:hAnsi="Cambria"/>
        </w:rPr>
        <w:t>,</w:t>
      </w:r>
      <w:r>
        <w:rPr>
          <w:rFonts w:ascii="Cambria" w:hAnsi="Cambria"/>
        </w:rPr>
        <w:t xml:space="preserve"> that are brought to </w:t>
      </w:r>
      <w:r w:rsidR="00F71688">
        <w:rPr>
          <w:rFonts w:ascii="Cambria" w:hAnsi="Cambria"/>
        </w:rPr>
        <w:t>bear</w:t>
      </w:r>
      <w:r w:rsidR="00EB7887">
        <w:rPr>
          <w:rFonts w:ascii="Cambria" w:hAnsi="Cambria"/>
        </w:rPr>
        <w:t xml:space="preserve"> on our assessment efforts—</w:t>
      </w:r>
      <w:r>
        <w:rPr>
          <w:rFonts w:ascii="Cambria" w:hAnsi="Cambria"/>
        </w:rPr>
        <w:t xml:space="preserve">that of measurement, compliance, or teaching and learning (Jankowski, 2017). The point of that piece was to help tease out the different reasons we engage in </w:t>
      </w:r>
      <w:r w:rsidR="00EB7887">
        <w:rPr>
          <w:rFonts w:ascii="Cambria" w:hAnsi="Cambria"/>
        </w:rPr>
        <w:t xml:space="preserve">assessment </w:t>
      </w:r>
      <w:r>
        <w:rPr>
          <w:rFonts w:ascii="Cambria" w:hAnsi="Cambria"/>
        </w:rPr>
        <w:t>work the way</w:t>
      </w:r>
      <w:r w:rsidR="00EB7887">
        <w:rPr>
          <w:rFonts w:ascii="Cambria" w:hAnsi="Cambria"/>
        </w:rPr>
        <w:t>s</w:t>
      </w:r>
      <w:r>
        <w:rPr>
          <w:rFonts w:ascii="Cambria" w:hAnsi="Cambria"/>
        </w:rPr>
        <w:t xml:space="preserve"> that we do. However, it is important to note that we need a bit of each to have a successful</w:t>
      </w:r>
      <w:r w:rsidR="00EB7887">
        <w:rPr>
          <w:rFonts w:ascii="Cambria" w:hAnsi="Cambria"/>
        </w:rPr>
        <w:t>, meaningful</w:t>
      </w:r>
      <w:r>
        <w:rPr>
          <w:rFonts w:ascii="Cambria" w:hAnsi="Cambria"/>
        </w:rPr>
        <w:t xml:space="preserve"> assessment process. We can’t ignore issues of measurement or compliance, neither can we ignore teaching and learning. The question is</w:t>
      </w:r>
      <w:r w:rsidR="00F71688">
        <w:rPr>
          <w:rFonts w:ascii="Cambria" w:hAnsi="Cambria"/>
        </w:rPr>
        <w:t>,</w:t>
      </w:r>
      <w:r>
        <w:rPr>
          <w:rFonts w:ascii="Cambria" w:hAnsi="Cambria"/>
        </w:rPr>
        <w:t xml:space="preserve"> how do we create a balanced approach to </w:t>
      </w:r>
      <w:r w:rsidR="00EB7887">
        <w:rPr>
          <w:rFonts w:ascii="Cambria" w:hAnsi="Cambria"/>
        </w:rPr>
        <w:t>accommodating</w:t>
      </w:r>
      <w:r>
        <w:rPr>
          <w:rFonts w:ascii="Cambria" w:hAnsi="Cambria"/>
        </w:rPr>
        <w:t xml:space="preserve"> the different pieces. While that may seem </w:t>
      </w:r>
      <w:r w:rsidR="00EB7887">
        <w:rPr>
          <w:rFonts w:ascii="Cambria" w:hAnsi="Cambria"/>
        </w:rPr>
        <w:t xml:space="preserve">an </w:t>
      </w:r>
      <w:r>
        <w:rPr>
          <w:rFonts w:ascii="Cambria" w:hAnsi="Cambria"/>
        </w:rPr>
        <w:t xml:space="preserve">incredibly difficult task to undertake, there is a lot of work unfolding that provides ways forward. </w:t>
      </w:r>
    </w:p>
    <w:p w14:paraId="420A770D" w14:textId="77777777" w:rsidR="005820BF" w:rsidRDefault="005820BF" w:rsidP="005E0FA2">
      <w:pPr>
        <w:rPr>
          <w:rFonts w:ascii="Cambria" w:hAnsi="Cambria"/>
        </w:rPr>
      </w:pPr>
    </w:p>
    <w:p w14:paraId="268609D0" w14:textId="77777777" w:rsidR="00C875D9" w:rsidRDefault="00EB7887" w:rsidP="005E0FA2">
      <w:pPr>
        <w:rPr>
          <w:rFonts w:ascii="Cambria" w:hAnsi="Cambria"/>
        </w:rPr>
      </w:pPr>
      <w:r>
        <w:rPr>
          <w:rFonts w:ascii="Cambria" w:hAnsi="Cambria"/>
        </w:rPr>
        <w:t xml:space="preserve">In 2015, the NILOA senior scholars released a book examining the shift from a compliance driven mentality and organizational structure of assessment to one of meaningful use (Kuh, et al, 2015). To make this shift happen, we need to critically examine and reflect upon several elements: </w:t>
      </w:r>
      <w:r w:rsidR="0098129F">
        <w:rPr>
          <w:rFonts w:ascii="Cambria" w:hAnsi="Cambria"/>
        </w:rPr>
        <w:t xml:space="preserve">what have we designed and organized </w:t>
      </w:r>
      <w:r>
        <w:rPr>
          <w:rFonts w:ascii="Cambria" w:hAnsi="Cambria"/>
        </w:rPr>
        <w:t>our assessment processes to do and how do we communicate about the value and importance of engaging in meaningful assessment practice? Have our approaches fostered a means to generate reports</w:t>
      </w:r>
      <w:r w:rsidR="0098129F">
        <w:rPr>
          <w:rFonts w:ascii="Cambria" w:hAnsi="Cambria"/>
        </w:rPr>
        <w:t xml:space="preserve"> </w:t>
      </w:r>
      <w:r>
        <w:rPr>
          <w:rFonts w:ascii="Cambria" w:hAnsi="Cambria"/>
        </w:rPr>
        <w:t>at the expense of engaging in faculty-driven questions about their teaching practices? H</w:t>
      </w:r>
      <w:r w:rsidR="0098129F">
        <w:rPr>
          <w:rFonts w:ascii="Cambria" w:hAnsi="Cambria"/>
        </w:rPr>
        <w:t>as a compliance mentality shifted our focus and thinking away from realizing the</w:t>
      </w:r>
      <w:r>
        <w:rPr>
          <w:rFonts w:ascii="Cambria" w:hAnsi="Cambria"/>
        </w:rPr>
        <w:t xml:space="preserve"> AAHE</w:t>
      </w:r>
      <w:r w:rsidR="0098129F">
        <w:rPr>
          <w:rFonts w:ascii="Cambria" w:hAnsi="Cambria"/>
        </w:rPr>
        <w:t xml:space="preserve"> principles</w:t>
      </w:r>
      <w:r>
        <w:rPr>
          <w:rFonts w:ascii="Cambria" w:hAnsi="Cambria"/>
        </w:rPr>
        <w:t xml:space="preserve"> of assessment? Yes, w</w:t>
      </w:r>
      <w:r w:rsidR="0098129F">
        <w:rPr>
          <w:rFonts w:ascii="Cambria" w:hAnsi="Cambria"/>
        </w:rPr>
        <w:t xml:space="preserve">e do have reports to complete, </w:t>
      </w:r>
      <w:r>
        <w:rPr>
          <w:rFonts w:ascii="Cambria" w:hAnsi="Cambria"/>
        </w:rPr>
        <w:t xml:space="preserve">and </w:t>
      </w:r>
      <w:r w:rsidR="0098129F">
        <w:rPr>
          <w:rFonts w:ascii="Cambria" w:hAnsi="Cambria"/>
        </w:rPr>
        <w:t>we do have metr</w:t>
      </w:r>
      <w:r>
        <w:rPr>
          <w:rFonts w:ascii="Cambria" w:hAnsi="Cambria"/>
        </w:rPr>
        <w:t>ics and mandates to respond to—</w:t>
      </w:r>
      <w:r w:rsidR="0098129F">
        <w:rPr>
          <w:rFonts w:ascii="Cambria" w:hAnsi="Cambria"/>
        </w:rPr>
        <w:t>but how often do we educate external audiences on meaningful ways to engage with assessment</w:t>
      </w:r>
      <w:r>
        <w:rPr>
          <w:rFonts w:ascii="Cambria" w:hAnsi="Cambria"/>
        </w:rPr>
        <w:t xml:space="preserve"> or the types of evidence that should be collected and discussed</w:t>
      </w:r>
      <w:r w:rsidR="0098129F">
        <w:rPr>
          <w:rFonts w:ascii="Cambria" w:hAnsi="Cambria"/>
        </w:rPr>
        <w:t xml:space="preserve">? How often do we push back on </w:t>
      </w:r>
      <w:r>
        <w:rPr>
          <w:rFonts w:ascii="Cambria" w:hAnsi="Cambria"/>
        </w:rPr>
        <w:t xml:space="preserve">potentially limiting </w:t>
      </w:r>
      <w:r w:rsidR="0098129F">
        <w:rPr>
          <w:rFonts w:ascii="Cambria" w:hAnsi="Cambria"/>
        </w:rPr>
        <w:t xml:space="preserve">discussions of comparability? </w:t>
      </w:r>
      <w:r>
        <w:rPr>
          <w:rFonts w:ascii="Cambria" w:hAnsi="Cambria"/>
        </w:rPr>
        <w:t>And when high-level administrators come knocking on our door to inform</w:t>
      </w:r>
      <w:r w:rsidR="0098129F">
        <w:rPr>
          <w:rFonts w:ascii="Cambria" w:hAnsi="Cambria"/>
        </w:rPr>
        <w:t xml:space="preserve"> us that the regional accreditation visit occurs in two years </w:t>
      </w:r>
      <w:r w:rsidR="00AD0D25">
        <w:rPr>
          <w:rFonts w:ascii="Cambria" w:hAnsi="Cambria"/>
        </w:rPr>
        <w:t xml:space="preserve">so we need </w:t>
      </w:r>
      <w:r w:rsidR="0098129F">
        <w:rPr>
          <w:rFonts w:ascii="Cambria" w:hAnsi="Cambria"/>
        </w:rPr>
        <w:t>to get the documentation ready so we can pass</w:t>
      </w:r>
      <w:r w:rsidR="00AD0D25">
        <w:rPr>
          <w:rFonts w:ascii="Cambria" w:hAnsi="Cambria"/>
        </w:rPr>
        <w:t xml:space="preserve">, </w:t>
      </w:r>
      <w:r w:rsidR="00150E6E">
        <w:rPr>
          <w:rFonts w:ascii="Cambria" w:hAnsi="Cambria"/>
        </w:rPr>
        <w:t xml:space="preserve">how do we navigate a dialogue on the impact of </w:t>
      </w:r>
      <w:r w:rsidR="00150E6E">
        <w:rPr>
          <w:rFonts w:ascii="Cambria" w:hAnsi="Cambria"/>
        </w:rPr>
        <w:lastRenderedPageBreak/>
        <w:t>framing assessment as solely about external mandates for reporting</w:t>
      </w:r>
      <w:r w:rsidR="0098129F">
        <w:rPr>
          <w:rFonts w:ascii="Cambria" w:hAnsi="Cambria"/>
        </w:rPr>
        <w:t xml:space="preserve">? </w:t>
      </w:r>
      <w:r w:rsidR="00C01316">
        <w:rPr>
          <w:rFonts w:ascii="Cambria" w:hAnsi="Cambria"/>
        </w:rPr>
        <w:t>In essence, w</w:t>
      </w:r>
      <w:r w:rsidR="0098129F">
        <w:rPr>
          <w:rFonts w:ascii="Cambria" w:hAnsi="Cambria"/>
        </w:rPr>
        <w:t>e become the students in our classes asking how long the paper is, how many citations it needs to have, and our focus is upon getting it done and docu</w:t>
      </w:r>
      <w:r w:rsidR="00150E6E">
        <w:rPr>
          <w:rFonts w:ascii="Cambria" w:hAnsi="Cambria"/>
        </w:rPr>
        <w:t>menting it—</w:t>
      </w:r>
      <w:r w:rsidR="00171B07">
        <w:rPr>
          <w:rFonts w:ascii="Cambria" w:hAnsi="Cambria"/>
        </w:rPr>
        <w:t>losing sight of our core</w:t>
      </w:r>
      <w:r w:rsidR="0098129F">
        <w:rPr>
          <w:rFonts w:ascii="Cambria" w:hAnsi="Cambria"/>
        </w:rPr>
        <w:t xml:space="preserve"> principles and values. </w:t>
      </w:r>
    </w:p>
    <w:p w14:paraId="7F332D1A" w14:textId="77777777" w:rsidR="0098129F" w:rsidRDefault="0098129F" w:rsidP="005E0FA2">
      <w:pPr>
        <w:rPr>
          <w:rFonts w:ascii="Cambria" w:hAnsi="Cambria"/>
        </w:rPr>
      </w:pPr>
    </w:p>
    <w:p w14:paraId="695635A7" w14:textId="77777777" w:rsidR="009B67B4" w:rsidRDefault="0098129F" w:rsidP="005E0FA2">
      <w:pPr>
        <w:rPr>
          <w:rFonts w:ascii="Cambria" w:hAnsi="Cambria"/>
        </w:rPr>
      </w:pPr>
      <w:r>
        <w:rPr>
          <w:rFonts w:ascii="Cambria" w:hAnsi="Cambria"/>
        </w:rPr>
        <w:t>However, there is hope. Whil</w:t>
      </w:r>
      <w:r w:rsidR="0000371B">
        <w:rPr>
          <w:rFonts w:ascii="Cambria" w:hAnsi="Cambria"/>
        </w:rPr>
        <w:t>e there are a lot of compliance-</w:t>
      </w:r>
      <w:r>
        <w:rPr>
          <w:rFonts w:ascii="Cambria" w:hAnsi="Cambria"/>
        </w:rPr>
        <w:t>driven approaches to assessment</w:t>
      </w:r>
      <w:r w:rsidR="00171B07">
        <w:rPr>
          <w:rFonts w:ascii="Cambria" w:hAnsi="Cambria"/>
        </w:rPr>
        <w:t xml:space="preserve"> still in operation</w:t>
      </w:r>
      <w:r>
        <w:rPr>
          <w:rFonts w:ascii="Cambria" w:hAnsi="Cambria"/>
        </w:rPr>
        <w:t>, we are seeing a paradigm shift unfolding in the way assessment and teaching and learning are viewed</w:t>
      </w:r>
      <w:r w:rsidR="005820BF">
        <w:rPr>
          <w:rFonts w:ascii="Cambria" w:hAnsi="Cambria"/>
        </w:rPr>
        <w:t xml:space="preserve"> </w:t>
      </w:r>
      <w:r w:rsidR="009B67B4">
        <w:rPr>
          <w:rFonts w:ascii="Cambria" w:hAnsi="Cambria"/>
        </w:rPr>
        <w:t xml:space="preserve">as integrated and mutually supportive </w:t>
      </w:r>
      <w:r w:rsidR="005820BF">
        <w:rPr>
          <w:rFonts w:ascii="Cambria" w:hAnsi="Cambria"/>
        </w:rPr>
        <w:t>(Jankowski &amp; Marshall, 2017)</w:t>
      </w:r>
      <w:r>
        <w:rPr>
          <w:rFonts w:ascii="Cambria" w:hAnsi="Cambria"/>
        </w:rPr>
        <w:t xml:space="preserve">. </w:t>
      </w:r>
      <w:r w:rsidR="009B67B4">
        <w:rPr>
          <w:rFonts w:ascii="Cambria" w:hAnsi="Cambria"/>
        </w:rPr>
        <w:t>Projects are unf</w:t>
      </w:r>
      <w:r w:rsidR="00404D04">
        <w:rPr>
          <w:rFonts w:ascii="Cambria" w:hAnsi="Cambria"/>
        </w:rPr>
        <w:t>olding nationally that focus on</w:t>
      </w:r>
      <w:r w:rsidR="00A2049A">
        <w:rPr>
          <w:rFonts w:ascii="Cambria" w:hAnsi="Cambria"/>
        </w:rPr>
        <w:t xml:space="preserve"> embedded assignments through faculty-driven </w:t>
      </w:r>
      <w:r w:rsidR="00404D04">
        <w:rPr>
          <w:rFonts w:ascii="Cambria" w:hAnsi="Cambria"/>
        </w:rPr>
        <w:t xml:space="preserve">approaches such as the VALUE Institute, and 62% of provosts report they are currently facilitating faculty work on the design of assignments while 77% are currently mapping curriculum to foster more coherent and integrated learning experiences for students (Jankowski, Timmer, Kinzie, &amp; Kuh, 2018). There is growth in organizations such as AALHE that provide space for assessment professionals to engage in reflective dialogue around issues of measurement and meaningful assessment practices, the relationship between equity and assessment is being explored (Montenegro &amp; Jankowski, 2017), and the topic of learning improvement is taking increasing prominence within the field (Fulcher, Good, Coleman, and Smith, 2014). </w:t>
      </w:r>
    </w:p>
    <w:p w14:paraId="2B554792" w14:textId="77777777" w:rsidR="009B67B4" w:rsidRDefault="009B67B4" w:rsidP="005E0FA2">
      <w:pPr>
        <w:rPr>
          <w:rFonts w:ascii="Cambria" w:hAnsi="Cambria"/>
        </w:rPr>
      </w:pPr>
    </w:p>
    <w:p w14:paraId="01A78834" w14:textId="77777777" w:rsidR="00F43207" w:rsidRPr="00404D04" w:rsidRDefault="0098129F" w:rsidP="00404D04">
      <w:pPr>
        <w:rPr>
          <w:rFonts w:ascii="Cambria" w:hAnsi="Cambria"/>
        </w:rPr>
      </w:pPr>
      <w:r>
        <w:rPr>
          <w:rFonts w:ascii="Cambria" w:hAnsi="Cambria"/>
        </w:rPr>
        <w:t>The Gilbert and Worthen pieces wouldn’t have hit a nerve if we weren’t in the midst of an upheaval of paradigms</w:t>
      </w:r>
      <w:r w:rsidR="00404D04">
        <w:rPr>
          <w:rFonts w:ascii="Cambria" w:hAnsi="Cambria"/>
        </w:rPr>
        <w:t>. W</w:t>
      </w:r>
      <w:r>
        <w:rPr>
          <w:rFonts w:ascii="Cambria" w:hAnsi="Cambria"/>
        </w:rPr>
        <w:t>hat they wrote isn’t a new argument for either of them. A year prior</w:t>
      </w:r>
      <w:r w:rsidR="00404D04">
        <w:rPr>
          <w:rFonts w:ascii="Cambria" w:hAnsi="Cambria"/>
        </w:rPr>
        <w:t>,</w:t>
      </w:r>
      <w:r>
        <w:rPr>
          <w:rFonts w:ascii="Cambria" w:hAnsi="Cambria"/>
        </w:rPr>
        <w:t xml:space="preserve"> Worthen wrote about how lecture is better than applied learning and Gilbert had the same complaints about assessment. Yet, a year ago</w:t>
      </w:r>
      <w:r w:rsidR="00404D04">
        <w:rPr>
          <w:rFonts w:ascii="Cambria" w:hAnsi="Cambria"/>
        </w:rPr>
        <w:t>, it didn’t have the same reaction, impact, or collective response from the field</w:t>
      </w:r>
      <w:r>
        <w:rPr>
          <w:rFonts w:ascii="Cambria" w:hAnsi="Cambria"/>
        </w:rPr>
        <w:t xml:space="preserve">. The field is moving, and </w:t>
      </w:r>
      <w:r w:rsidR="00404D04">
        <w:rPr>
          <w:rFonts w:ascii="Cambria" w:hAnsi="Cambria"/>
        </w:rPr>
        <w:t xml:space="preserve">yes, </w:t>
      </w:r>
      <w:r>
        <w:rPr>
          <w:rFonts w:ascii="Cambria" w:hAnsi="Cambria"/>
        </w:rPr>
        <w:t xml:space="preserve">change is scary and hard. George Kuh </w:t>
      </w:r>
      <w:r w:rsidR="00404D04">
        <w:rPr>
          <w:rFonts w:ascii="Cambria" w:hAnsi="Cambria"/>
        </w:rPr>
        <w:t>likes to say</w:t>
      </w:r>
      <w:r>
        <w:rPr>
          <w:rFonts w:ascii="Cambria" w:hAnsi="Cambria"/>
        </w:rPr>
        <w:t xml:space="preserve"> that change moves at the speed of trust, and yes, there are faculty who have lived through the reporting regime with mandated approaches to assess student learning that were quickly developed because an accreditor was coming. They have every right to be skeptical. But as a field and a profession, assessment is finding ways to move forward and navigate the tensions, push back, and realize the principles that inform and guide our practice. </w:t>
      </w:r>
      <w:r w:rsidR="00171B07">
        <w:rPr>
          <w:rFonts w:ascii="Cambria" w:hAnsi="Cambria"/>
        </w:rPr>
        <w:t xml:space="preserve">It is our job to communicate the differences between the paradigms that are driving our work and remind people of the principles that we have consistently operated </w:t>
      </w:r>
      <w:r w:rsidR="00404D04">
        <w:rPr>
          <w:rFonts w:ascii="Cambria" w:hAnsi="Cambria"/>
        </w:rPr>
        <w:t>under.</w:t>
      </w:r>
      <w:r w:rsidR="00F43207">
        <w:rPr>
          <w:rFonts w:ascii="Cambria" w:hAnsi="Cambria"/>
        </w:rPr>
        <w:t xml:space="preserve"> To engage in a paradigm shift during the time when the usual, or comfortable and accepted ways of doing things are changing, requires clear communication about the value and importance of our work, what it is and isn’t, and what the approaches we support and endorse position us to do and explore. </w:t>
      </w:r>
      <w:r w:rsidR="00E604BA">
        <w:rPr>
          <w:rFonts w:ascii="Cambria" w:hAnsi="Cambria"/>
        </w:rPr>
        <w:t xml:space="preserve">I take heart in the Gilbert and Worthen pieces because I see them as signals that the change is upon us and the dialogues are unfolding. </w:t>
      </w:r>
    </w:p>
    <w:p w14:paraId="1320F667" w14:textId="77777777" w:rsidR="000B7024" w:rsidRPr="00E01ADB" w:rsidRDefault="000B7024" w:rsidP="005E0FA2">
      <w:pPr>
        <w:shd w:val="clear" w:color="auto" w:fill="FFFFFF"/>
        <w:ind w:hanging="360"/>
        <w:rPr>
          <w:rFonts w:ascii="Cambria" w:eastAsia="Times New Roman" w:hAnsi="Cambria" w:cs="Segoe UI"/>
          <w:color w:val="212121"/>
        </w:rPr>
      </w:pPr>
    </w:p>
    <w:p w14:paraId="72999A25" w14:textId="77777777" w:rsidR="005E0FA2" w:rsidRPr="001A0A7D" w:rsidRDefault="00945994" w:rsidP="00945994">
      <w:pPr>
        <w:rPr>
          <w:rFonts w:ascii="Cambria" w:hAnsi="Cambria"/>
          <w:b/>
        </w:rPr>
      </w:pPr>
      <w:r w:rsidRPr="001A0A7D">
        <w:rPr>
          <w:rFonts w:ascii="Cambria" w:hAnsi="Cambria"/>
          <w:b/>
        </w:rPr>
        <w:t>References</w:t>
      </w:r>
    </w:p>
    <w:p w14:paraId="09BB62C9" w14:textId="77777777" w:rsidR="00106530" w:rsidRPr="00945994" w:rsidRDefault="00106530" w:rsidP="00945994">
      <w:pPr>
        <w:pStyle w:val="NormalWeb"/>
        <w:ind w:left="720" w:hanging="720"/>
        <w:rPr>
          <w:rFonts w:ascii="Cambria" w:hAnsi="Cambria" w:cs="Arial"/>
          <w:color w:val="333333"/>
        </w:rPr>
      </w:pPr>
      <w:r w:rsidRPr="00945994">
        <w:rPr>
          <w:rFonts w:ascii="Cambria" w:hAnsi="Cambria"/>
        </w:rPr>
        <w:t>American Associatio</w:t>
      </w:r>
      <w:r w:rsidR="00CB5B2E" w:rsidRPr="00945994">
        <w:rPr>
          <w:rFonts w:ascii="Cambria" w:hAnsi="Cambria"/>
        </w:rPr>
        <w:t>n for Higher Edu</w:t>
      </w:r>
      <w:r w:rsidRPr="00945994">
        <w:rPr>
          <w:rFonts w:ascii="Cambria" w:hAnsi="Cambria"/>
        </w:rPr>
        <w:t xml:space="preserve">cation (AAHE). 1992. </w:t>
      </w:r>
      <w:r w:rsidRPr="00945994">
        <w:rPr>
          <w:rFonts w:ascii="Cambria" w:hAnsi="Cambria"/>
          <w:i/>
          <w:iCs/>
        </w:rPr>
        <w:t>Nine Princi</w:t>
      </w:r>
      <w:r w:rsidRPr="00945994">
        <w:rPr>
          <w:rFonts w:ascii="Cambria" w:hAnsi="Cambria" w:cs="Arial"/>
          <w:i/>
          <w:iCs/>
          <w:color w:val="333333"/>
        </w:rPr>
        <w:t>ples of Good Practice for Assessing Student Learning</w:t>
      </w:r>
      <w:r w:rsidRPr="00945994">
        <w:rPr>
          <w:rFonts w:ascii="Cambria" w:hAnsi="Cambria" w:cs="Arial"/>
          <w:color w:val="333333"/>
        </w:rPr>
        <w:t xml:space="preserve">. North Kansas City, MO: AAHE. </w:t>
      </w:r>
    </w:p>
    <w:p w14:paraId="74C97316" w14:textId="77777777" w:rsidR="00106530" w:rsidRPr="00945994" w:rsidRDefault="00106530" w:rsidP="00945994">
      <w:pPr>
        <w:pStyle w:val="NormalWeb"/>
        <w:ind w:left="720" w:hanging="720"/>
        <w:rPr>
          <w:rFonts w:ascii="Cambria" w:hAnsi="Cambria"/>
        </w:rPr>
      </w:pPr>
      <w:r w:rsidRPr="00945994">
        <w:rPr>
          <w:rFonts w:ascii="Cambria" w:hAnsi="Cambria"/>
        </w:rPr>
        <w:t xml:space="preserve">Banta, T. W., Jones, E. A., and Black, K. E. 2009. </w:t>
      </w:r>
      <w:r w:rsidRPr="00945994">
        <w:rPr>
          <w:rFonts w:ascii="Cambria" w:hAnsi="Cambria"/>
          <w:i/>
          <w:iCs/>
        </w:rPr>
        <w:t>Designing Effective Assessment: Principles and Profiles of Good Practice</w:t>
      </w:r>
      <w:r w:rsidRPr="00945994">
        <w:rPr>
          <w:rFonts w:ascii="Cambria" w:hAnsi="Cambria"/>
        </w:rPr>
        <w:t xml:space="preserve">. San Francisco, CA: Jossey-Bass. </w:t>
      </w:r>
    </w:p>
    <w:p w14:paraId="6F510A6D" w14:textId="77777777" w:rsidR="005820BF" w:rsidRDefault="00CB5B2E" w:rsidP="005820BF">
      <w:pPr>
        <w:pStyle w:val="NormalWeb"/>
        <w:shd w:val="clear" w:color="auto" w:fill="FFFFFF"/>
        <w:ind w:left="720" w:hanging="720"/>
        <w:rPr>
          <w:rFonts w:ascii="Cambria" w:hAnsi="Cambria" w:cs="Arial"/>
          <w:color w:val="333333"/>
        </w:rPr>
      </w:pPr>
      <w:proofErr w:type="spellStart"/>
      <w:r w:rsidRPr="00945994">
        <w:rPr>
          <w:rFonts w:ascii="Cambria" w:hAnsi="Cambria" w:cs="Arial"/>
          <w:color w:val="333333"/>
        </w:rPr>
        <w:lastRenderedPageBreak/>
        <w:t>Braskamp</w:t>
      </w:r>
      <w:proofErr w:type="spellEnd"/>
      <w:r w:rsidRPr="00945994">
        <w:rPr>
          <w:rFonts w:ascii="Cambria" w:hAnsi="Cambria" w:cs="Arial"/>
          <w:color w:val="333333"/>
        </w:rPr>
        <w:t>, L.A, &amp; Engberg, M.E. (2014).</w:t>
      </w:r>
      <w:hyperlink r:id="rId10" w:tgtFrame="_blank" w:history="1">
        <w:r w:rsidRPr="00945994">
          <w:rPr>
            <w:rStyle w:val="apple-converted-space"/>
            <w:rFonts w:ascii="Cambria" w:hAnsi="Cambria" w:cs="Arial"/>
            <w:bCs/>
            <w:color w:val="330000"/>
          </w:rPr>
          <w:t xml:space="preserve"> </w:t>
        </w:r>
        <w:r w:rsidRPr="00945994">
          <w:rPr>
            <w:rStyle w:val="Emphasis"/>
            <w:rFonts w:ascii="Cambria" w:hAnsi="Cambria" w:cs="Arial"/>
            <w:bCs/>
            <w:color w:val="330000"/>
          </w:rPr>
          <w:t>Guidelines for judging the effectiveness of assessing student learning</w:t>
        </w:r>
      </w:hyperlink>
      <w:r w:rsidRPr="00945994">
        <w:rPr>
          <w:rStyle w:val="Emphasis"/>
          <w:rFonts w:ascii="Cambria" w:hAnsi="Cambria" w:cs="Arial"/>
          <w:color w:val="333333"/>
        </w:rPr>
        <w:t>.</w:t>
      </w:r>
      <w:r w:rsidRPr="00945994">
        <w:rPr>
          <w:rStyle w:val="apple-converted-space"/>
          <w:rFonts w:ascii="Cambria" w:hAnsi="Cambria" w:cs="Arial"/>
          <w:i/>
          <w:iCs/>
          <w:color w:val="333333"/>
        </w:rPr>
        <w:t> </w:t>
      </w:r>
      <w:r w:rsidRPr="00945994">
        <w:rPr>
          <w:rStyle w:val="apple-converted-space"/>
          <w:rFonts w:ascii="Cambria" w:hAnsi="Cambria" w:cs="Arial"/>
          <w:iCs/>
          <w:color w:val="333333"/>
        </w:rPr>
        <w:t xml:space="preserve">Chicago, IL: </w:t>
      </w:r>
      <w:r w:rsidRPr="00945994">
        <w:rPr>
          <w:rFonts w:ascii="Cambria" w:hAnsi="Cambria" w:cs="Arial"/>
          <w:color w:val="333333"/>
        </w:rPr>
        <w:t>Loyola University.</w:t>
      </w:r>
      <w:r w:rsidR="00F51E3C" w:rsidRPr="00945994">
        <w:rPr>
          <w:rFonts w:ascii="Cambria" w:hAnsi="Cambria" w:cs="Arial"/>
          <w:color w:val="333333"/>
        </w:rPr>
        <w:t xml:space="preserve"> </w:t>
      </w:r>
    </w:p>
    <w:p w14:paraId="1309E61F" w14:textId="77777777" w:rsidR="005820BF" w:rsidRDefault="005820BF" w:rsidP="005820BF">
      <w:pPr>
        <w:pStyle w:val="NormalWeb"/>
        <w:shd w:val="clear" w:color="auto" w:fill="FFFFFF"/>
        <w:ind w:left="720" w:hanging="720"/>
        <w:rPr>
          <w:rFonts w:ascii="Cambria" w:hAnsi="Cambria" w:cs="Segoe UI"/>
          <w:color w:val="212121"/>
        </w:rPr>
      </w:pPr>
      <w:r>
        <w:rPr>
          <w:rFonts w:ascii="Cambria" w:hAnsi="Cambria" w:cs="Arial"/>
          <w:color w:val="333333"/>
        </w:rPr>
        <w:t>Ewell, P. (</w:t>
      </w:r>
      <w:r w:rsidRPr="002E7028">
        <w:rPr>
          <w:rFonts w:ascii="Cambria" w:hAnsi="Cambria" w:cs="Arial"/>
          <w:color w:val="333333"/>
        </w:rPr>
        <w:t>2009).</w:t>
      </w:r>
      <w:r>
        <w:rPr>
          <w:rFonts w:ascii="Cambria" w:hAnsi="Cambria" w:cs="Arial"/>
          <w:color w:val="333333"/>
        </w:rPr>
        <w:t xml:space="preserve"> </w:t>
      </w:r>
      <w:r w:rsidR="002E7028">
        <w:rPr>
          <w:rFonts w:ascii="Cambria" w:hAnsi="Cambria" w:cs="Arial"/>
          <w:i/>
          <w:color w:val="333333"/>
        </w:rPr>
        <w:t xml:space="preserve">Assessment, accountability, and improvement: Revisiting the tension. </w:t>
      </w:r>
      <w:r w:rsidRPr="000B7024">
        <w:rPr>
          <w:rFonts w:ascii="Cambria" w:hAnsi="Cambria" w:cs="Segoe UI"/>
          <w:color w:val="212121"/>
        </w:rPr>
        <w:t>Urbana, IL: University of Illinois and Indiana University, National Institute for Learning Outcomes Assessment (NILOA).</w:t>
      </w:r>
    </w:p>
    <w:p w14:paraId="7DCDE3BD" w14:textId="77777777" w:rsidR="00404D04" w:rsidRDefault="00404D04" w:rsidP="00404D04">
      <w:pPr>
        <w:pStyle w:val="NormalWeb"/>
        <w:shd w:val="clear" w:color="auto" w:fill="FFFFFF"/>
        <w:ind w:left="720" w:hanging="720"/>
        <w:rPr>
          <w:rFonts w:ascii="Cambria" w:hAnsi="Cambria" w:cs="Arial"/>
          <w:color w:val="333333"/>
        </w:rPr>
      </w:pPr>
      <w:r w:rsidRPr="00404D04">
        <w:rPr>
          <w:rFonts w:ascii="Cambria" w:hAnsi="Cambria" w:cs="Arial"/>
          <w:color w:val="333333"/>
        </w:rPr>
        <w:t>Fulcher, K. H., Good, M. R., Coleman, C. M., &amp; Smith, K. L. (2014, December).</w:t>
      </w:r>
      <w:r w:rsidRPr="00404D04">
        <w:rPr>
          <w:rFonts w:ascii="Cambria" w:hAnsi="Cambria" w:cs="Arial"/>
          <w:i/>
          <w:iCs/>
          <w:color w:val="333333"/>
        </w:rPr>
        <w:t> </w:t>
      </w:r>
      <w:r w:rsidRPr="00404D04">
        <w:rPr>
          <w:rFonts w:ascii="Cambria" w:hAnsi="Cambria" w:cs="Arial"/>
          <w:bCs/>
          <w:i/>
          <w:iCs/>
          <w:color w:val="333333"/>
        </w:rPr>
        <w:t xml:space="preserve">A simple model for learning improvement: Weigh pig, feed pig, weigh </w:t>
      </w:r>
      <w:proofErr w:type="gramStart"/>
      <w:r w:rsidRPr="00404D04">
        <w:rPr>
          <w:rFonts w:ascii="Cambria" w:hAnsi="Cambria" w:cs="Arial"/>
          <w:bCs/>
          <w:i/>
          <w:iCs/>
          <w:color w:val="333333"/>
        </w:rPr>
        <w:t>pig</w:t>
      </w:r>
      <w:r w:rsidRPr="00404D04">
        <w:rPr>
          <w:rFonts w:ascii="Cambria" w:hAnsi="Cambria" w:cs="Arial"/>
          <w:b/>
          <w:bCs/>
          <w:i/>
          <w:iCs/>
          <w:color w:val="333333"/>
        </w:rPr>
        <w:t>.</w:t>
      </w:r>
      <w:r w:rsidRPr="00404D04">
        <w:rPr>
          <w:rFonts w:ascii="Cambria" w:hAnsi="Cambria" w:cs="Arial"/>
          <w:color w:val="333333"/>
        </w:rPr>
        <w:t>(</w:t>
      </w:r>
      <w:proofErr w:type="gramEnd"/>
      <w:r w:rsidRPr="00404D04">
        <w:rPr>
          <w:rFonts w:ascii="Cambria" w:hAnsi="Cambria" w:cs="Arial"/>
          <w:color w:val="333333"/>
        </w:rPr>
        <w:t>Occasional Paper No. 23). Urbana, IL: University of Illinois and Indiana University, National Institute for Learning Outcomes Assessment.</w:t>
      </w:r>
    </w:p>
    <w:p w14:paraId="5EA6B781" w14:textId="77777777" w:rsidR="005820BF" w:rsidRDefault="005820BF" w:rsidP="005820BF">
      <w:pPr>
        <w:pStyle w:val="NormalWeb"/>
        <w:shd w:val="clear" w:color="auto" w:fill="FFFFFF"/>
        <w:ind w:left="720" w:hanging="720"/>
        <w:rPr>
          <w:rFonts w:ascii="Cambria" w:hAnsi="Cambria" w:cs="Segoe UI"/>
          <w:color w:val="212121"/>
        </w:rPr>
      </w:pPr>
      <w:r w:rsidRPr="000B7024">
        <w:rPr>
          <w:rFonts w:ascii="Cambria" w:hAnsi="Cambria" w:cs="Segoe UI"/>
          <w:color w:val="212121"/>
        </w:rPr>
        <w:t xml:space="preserve">Jankowski, N. A. (2017). Moving toward a philosophy of assessment. </w:t>
      </w:r>
      <w:r w:rsidRPr="000B7024">
        <w:rPr>
          <w:rFonts w:ascii="Cambria" w:hAnsi="Cambria" w:cs="Segoe UI"/>
          <w:i/>
          <w:color w:val="212121"/>
        </w:rPr>
        <w:t>Assessment Update, 29</w:t>
      </w:r>
      <w:r w:rsidRPr="000B7024">
        <w:rPr>
          <w:rFonts w:ascii="Cambria" w:hAnsi="Cambria" w:cs="Segoe UI"/>
          <w:color w:val="212121"/>
        </w:rPr>
        <w:t xml:space="preserve">(3), 10-11. </w:t>
      </w:r>
    </w:p>
    <w:p w14:paraId="3CDAB4CB" w14:textId="77777777" w:rsidR="005820BF" w:rsidRPr="005820BF" w:rsidRDefault="005820BF" w:rsidP="005820BF">
      <w:pPr>
        <w:pStyle w:val="NormalWeb"/>
        <w:shd w:val="clear" w:color="auto" w:fill="FFFFFF"/>
        <w:ind w:left="720" w:hanging="720"/>
        <w:rPr>
          <w:rFonts w:ascii="Cambria" w:hAnsi="Cambria" w:cs="Segoe UI"/>
          <w:color w:val="212121"/>
        </w:rPr>
      </w:pPr>
      <w:r w:rsidRPr="000B7024">
        <w:rPr>
          <w:rFonts w:ascii="Cambria" w:hAnsi="Cambria" w:cs="Segoe UI"/>
          <w:color w:val="212121"/>
        </w:rPr>
        <w:t xml:space="preserve">Jankowski, N. A., &amp; Marshall, D. W. (2017). </w:t>
      </w:r>
      <w:r w:rsidRPr="000B7024">
        <w:rPr>
          <w:rFonts w:ascii="Cambria" w:hAnsi="Cambria" w:cs="Segoe UI"/>
          <w:i/>
          <w:color w:val="212121"/>
        </w:rPr>
        <w:t>Degrees that matter: Moving higher education to a learning systems paradigm.</w:t>
      </w:r>
      <w:r w:rsidRPr="000B7024">
        <w:rPr>
          <w:rFonts w:ascii="Cambria" w:hAnsi="Cambria" w:cs="Segoe UI"/>
          <w:color w:val="212121"/>
        </w:rPr>
        <w:t xml:space="preserve"> Sterling, VA: Stylus Publishing, LLC. </w:t>
      </w:r>
    </w:p>
    <w:p w14:paraId="2D569CEC" w14:textId="77777777" w:rsidR="001E02F9" w:rsidRDefault="001E02F9" w:rsidP="001E02F9">
      <w:pPr>
        <w:pStyle w:val="NormalWeb"/>
        <w:shd w:val="clear" w:color="auto" w:fill="FFFFFF"/>
        <w:ind w:left="720" w:hanging="720"/>
        <w:rPr>
          <w:rFonts w:ascii="Cambria" w:hAnsi="Cambria" w:cs="Arial"/>
          <w:color w:val="333333"/>
        </w:rPr>
      </w:pPr>
      <w:r w:rsidRPr="000B7024">
        <w:rPr>
          <w:rFonts w:ascii="Cambria" w:hAnsi="Cambria" w:cs="Segoe UI"/>
          <w:color w:val="212121"/>
        </w:rPr>
        <w:t>Jankowski, N. A., Timmer, J. D., Kinzie, J., &amp; Kuh, G. D. (2018). </w:t>
      </w:r>
      <w:r w:rsidRPr="000B7024">
        <w:rPr>
          <w:rFonts w:ascii="Cambria" w:hAnsi="Cambria" w:cs="Segoe UI"/>
          <w:bCs/>
          <w:i/>
          <w:iCs/>
          <w:color w:val="212121"/>
        </w:rPr>
        <w:t>Assessment that matters: Trending toward practices that document authentic student learning.</w:t>
      </w:r>
      <w:r w:rsidRPr="000B7024">
        <w:rPr>
          <w:rFonts w:ascii="Cambria" w:hAnsi="Cambria" w:cs="Segoe UI"/>
          <w:color w:val="212121"/>
        </w:rPr>
        <w:t> Urbana, IL: University of Illinois and Indiana University, National Institute for Learning Outcomes Assessment (NILOA).</w:t>
      </w:r>
    </w:p>
    <w:p w14:paraId="6ECEE704" w14:textId="77777777" w:rsidR="005820BF" w:rsidRDefault="00CB5B2E" w:rsidP="009B67B4">
      <w:pPr>
        <w:pStyle w:val="NormalWeb"/>
        <w:shd w:val="clear" w:color="auto" w:fill="FFFFFF"/>
        <w:ind w:left="720" w:hanging="720"/>
        <w:rPr>
          <w:rFonts w:ascii="Cambria" w:hAnsi="Cambria" w:cs="Arial"/>
          <w:color w:val="333333"/>
        </w:rPr>
      </w:pPr>
      <w:r w:rsidRPr="00945994">
        <w:rPr>
          <w:rFonts w:ascii="Cambria" w:hAnsi="Cambria" w:cs="Arial"/>
          <w:color w:val="333333"/>
        </w:rPr>
        <w:t xml:space="preserve">Kinzie, J., Jankowski, N., &amp; </w:t>
      </w:r>
      <w:proofErr w:type="spellStart"/>
      <w:r w:rsidRPr="00945994">
        <w:rPr>
          <w:rFonts w:ascii="Cambria" w:hAnsi="Cambria" w:cs="Arial"/>
          <w:color w:val="333333"/>
        </w:rPr>
        <w:t>Provezis</w:t>
      </w:r>
      <w:proofErr w:type="spellEnd"/>
      <w:r w:rsidRPr="00945994">
        <w:rPr>
          <w:rFonts w:ascii="Cambria" w:hAnsi="Cambria" w:cs="Arial"/>
          <w:color w:val="333333"/>
        </w:rPr>
        <w:t>, S. (2014).</w:t>
      </w:r>
      <w:r w:rsidRPr="00945994">
        <w:rPr>
          <w:rStyle w:val="apple-converted-space"/>
          <w:rFonts w:ascii="Cambria" w:hAnsi="Cambria" w:cs="Arial"/>
          <w:color w:val="333333"/>
        </w:rPr>
        <w:t> </w:t>
      </w:r>
      <w:hyperlink r:id="rId11" w:history="1">
        <w:r w:rsidRPr="00945994">
          <w:rPr>
            <w:rStyle w:val="Hyperlink"/>
            <w:rFonts w:ascii="Cambria" w:hAnsi="Cambria" w:cs="Arial"/>
            <w:bCs/>
            <w:color w:val="330000"/>
            <w:u w:val="none"/>
          </w:rPr>
          <w:t>Do good assessment practices measure up to the principles of assessment?</w:t>
        </w:r>
      </w:hyperlink>
      <w:r w:rsidRPr="00945994">
        <w:rPr>
          <w:rStyle w:val="apple-converted-space"/>
          <w:rFonts w:ascii="Cambria" w:hAnsi="Cambria" w:cs="Arial"/>
          <w:color w:val="333333"/>
        </w:rPr>
        <w:t> </w:t>
      </w:r>
      <w:r w:rsidRPr="00945994">
        <w:rPr>
          <w:rStyle w:val="Emphasis"/>
          <w:rFonts w:ascii="Cambria" w:hAnsi="Cambria" w:cs="Arial"/>
          <w:color w:val="333333"/>
        </w:rPr>
        <w:t>Assessment Update</w:t>
      </w:r>
      <w:r w:rsidRPr="001A0A7D">
        <w:rPr>
          <w:rStyle w:val="Emphasis"/>
          <w:rFonts w:ascii="Cambria" w:hAnsi="Cambria" w:cs="Arial"/>
          <w:color w:val="333333"/>
        </w:rPr>
        <w:t>, 26</w:t>
      </w:r>
      <w:r w:rsidR="001A0A7D" w:rsidRPr="001A0A7D">
        <w:rPr>
          <w:rFonts w:ascii="Cambria" w:hAnsi="Cambria" w:cs="Arial"/>
          <w:color w:val="333333"/>
        </w:rPr>
        <w:t>(3),</w:t>
      </w:r>
      <w:r w:rsidR="001A0A7D">
        <w:rPr>
          <w:rFonts w:ascii="Cambria" w:hAnsi="Cambria" w:cs="Arial"/>
          <w:color w:val="333333"/>
        </w:rPr>
        <w:t xml:space="preserve"> 1-2, 14-16.</w:t>
      </w:r>
    </w:p>
    <w:p w14:paraId="12818A21" w14:textId="77777777" w:rsidR="005820BF" w:rsidRDefault="001E02F9" w:rsidP="005820BF">
      <w:pPr>
        <w:pStyle w:val="NormalWeb"/>
        <w:shd w:val="clear" w:color="auto" w:fill="FFFFFF"/>
        <w:ind w:left="720" w:hanging="720"/>
        <w:rPr>
          <w:rFonts w:ascii="Cambria" w:hAnsi="Cambria" w:cs="Segoe UI"/>
          <w:color w:val="212121"/>
        </w:rPr>
      </w:pPr>
      <w:r>
        <w:rPr>
          <w:rFonts w:ascii="Cambria" w:hAnsi="Cambria" w:cs="Arial"/>
          <w:color w:val="333333"/>
        </w:rPr>
        <w:t xml:space="preserve">Kuh, G. D., &amp; </w:t>
      </w:r>
      <w:proofErr w:type="spellStart"/>
      <w:r>
        <w:rPr>
          <w:rFonts w:ascii="Cambria" w:hAnsi="Cambria" w:cs="Arial"/>
          <w:color w:val="333333"/>
        </w:rPr>
        <w:t>Ikenberry</w:t>
      </w:r>
      <w:proofErr w:type="spellEnd"/>
      <w:r>
        <w:rPr>
          <w:rFonts w:ascii="Cambria" w:hAnsi="Cambria" w:cs="Arial"/>
          <w:color w:val="333333"/>
        </w:rPr>
        <w:t xml:space="preserve">, S. O. (2009). </w:t>
      </w:r>
      <w:r>
        <w:rPr>
          <w:rFonts w:ascii="Cambria" w:hAnsi="Cambria" w:cs="Arial"/>
          <w:i/>
          <w:color w:val="333333"/>
        </w:rPr>
        <w:t xml:space="preserve">More than you think, less than we need: Learning outcomes assessment in American higher education. </w:t>
      </w:r>
      <w:r w:rsidRPr="000B7024">
        <w:rPr>
          <w:rFonts w:ascii="Cambria" w:hAnsi="Cambria" w:cs="Segoe UI"/>
          <w:color w:val="212121"/>
        </w:rPr>
        <w:t>Urbana, IL: University of Illinois and Indiana University, National Institute for Learning Outcomes Assessment (NILOA).</w:t>
      </w:r>
    </w:p>
    <w:p w14:paraId="0E9CC944" w14:textId="77777777" w:rsidR="005820BF" w:rsidRDefault="005820BF" w:rsidP="005820BF">
      <w:pPr>
        <w:pStyle w:val="NormalWeb"/>
        <w:shd w:val="clear" w:color="auto" w:fill="FFFFFF"/>
        <w:ind w:left="720" w:hanging="720"/>
        <w:rPr>
          <w:rFonts w:ascii="Cambria" w:hAnsi="Cambria" w:cs="Segoe UI"/>
          <w:color w:val="212121"/>
        </w:rPr>
      </w:pPr>
      <w:r w:rsidRPr="000B7024">
        <w:rPr>
          <w:rFonts w:ascii="Cambria" w:hAnsi="Cambria" w:cs="Segoe UI"/>
          <w:color w:val="212121"/>
        </w:rPr>
        <w:t>Kuh, G.</w:t>
      </w:r>
      <w:r>
        <w:rPr>
          <w:rFonts w:ascii="Cambria" w:hAnsi="Cambria" w:cs="Segoe UI"/>
          <w:color w:val="212121"/>
        </w:rPr>
        <w:t xml:space="preserve"> </w:t>
      </w:r>
      <w:r w:rsidRPr="000B7024">
        <w:rPr>
          <w:rFonts w:ascii="Cambria" w:hAnsi="Cambria" w:cs="Segoe UI"/>
          <w:color w:val="212121"/>
        </w:rPr>
        <w:t xml:space="preserve">D., </w:t>
      </w:r>
      <w:proofErr w:type="spellStart"/>
      <w:r w:rsidRPr="000B7024">
        <w:rPr>
          <w:rFonts w:ascii="Cambria" w:hAnsi="Cambria" w:cs="Segoe UI"/>
          <w:color w:val="212121"/>
        </w:rPr>
        <w:t>Ikenberry</w:t>
      </w:r>
      <w:proofErr w:type="spellEnd"/>
      <w:r w:rsidRPr="000B7024">
        <w:rPr>
          <w:rFonts w:ascii="Cambria" w:hAnsi="Cambria" w:cs="Segoe UI"/>
          <w:color w:val="212121"/>
        </w:rPr>
        <w:t>, S. O., Jankowski, N.</w:t>
      </w:r>
      <w:r>
        <w:rPr>
          <w:rFonts w:ascii="Cambria" w:hAnsi="Cambria" w:cs="Segoe UI"/>
          <w:color w:val="212121"/>
        </w:rPr>
        <w:t xml:space="preserve"> </w:t>
      </w:r>
      <w:r w:rsidRPr="000B7024">
        <w:rPr>
          <w:rFonts w:ascii="Cambria" w:hAnsi="Cambria" w:cs="Segoe UI"/>
          <w:color w:val="212121"/>
        </w:rPr>
        <w:t>A., Cain, T. R., Ewell, P., Hutchings, P., &amp; Kinzie, K. (2015).  </w:t>
      </w:r>
      <w:r w:rsidRPr="000B7024">
        <w:rPr>
          <w:rFonts w:ascii="Cambria" w:hAnsi="Cambria" w:cs="Segoe UI"/>
          <w:i/>
          <w:iCs/>
          <w:color w:val="212121"/>
        </w:rPr>
        <w:t>Using Evidence of Student Learning to Improve Higher Education. </w:t>
      </w:r>
      <w:r w:rsidRPr="000B7024">
        <w:rPr>
          <w:rFonts w:ascii="Cambria" w:hAnsi="Cambria" w:cs="Segoe UI"/>
          <w:iCs/>
          <w:color w:val="212121"/>
        </w:rPr>
        <w:t xml:space="preserve">San Francisco, CA: </w:t>
      </w:r>
      <w:r w:rsidRPr="000B7024">
        <w:rPr>
          <w:rFonts w:ascii="Cambria" w:hAnsi="Cambria" w:cs="Segoe UI"/>
          <w:color w:val="212121"/>
        </w:rPr>
        <w:t xml:space="preserve">Jossey-Bass. </w:t>
      </w:r>
    </w:p>
    <w:p w14:paraId="2FE1EECD" w14:textId="77777777" w:rsidR="001E02F9" w:rsidRDefault="001E02F9" w:rsidP="0098129F">
      <w:pPr>
        <w:pStyle w:val="NormalWeb"/>
        <w:shd w:val="clear" w:color="auto" w:fill="FFFFFF"/>
        <w:ind w:left="720" w:hanging="720"/>
        <w:rPr>
          <w:rFonts w:ascii="Cambria" w:hAnsi="Cambria" w:cs="Segoe UI"/>
          <w:color w:val="212121"/>
        </w:rPr>
      </w:pPr>
      <w:r>
        <w:rPr>
          <w:rFonts w:ascii="Cambria" w:hAnsi="Cambria" w:cs="Segoe UI"/>
          <w:color w:val="212121"/>
        </w:rPr>
        <w:t xml:space="preserve">Kuh, G. D., Jankowski, N., </w:t>
      </w:r>
      <w:proofErr w:type="spellStart"/>
      <w:r>
        <w:rPr>
          <w:rFonts w:ascii="Cambria" w:hAnsi="Cambria" w:cs="Segoe UI"/>
          <w:color w:val="212121"/>
        </w:rPr>
        <w:t>Ikenberry</w:t>
      </w:r>
      <w:proofErr w:type="spellEnd"/>
      <w:r>
        <w:rPr>
          <w:rFonts w:ascii="Cambria" w:hAnsi="Cambria" w:cs="Segoe UI"/>
          <w:color w:val="212121"/>
        </w:rPr>
        <w:t xml:space="preserve">, S. O., &amp; Kinzie, J. (2014). </w:t>
      </w:r>
      <w:r>
        <w:rPr>
          <w:rFonts w:ascii="Cambria" w:hAnsi="Cambria" w:cs="Segoe UI"/>
          <w:i/>
          <w:color w:val="212121"/>
        </w:rPr>
        <w:t xml:space="preserve">Knowing what students know and can do: The current state of student learning outcomes assessment in US colleges and universities. </w:t>
      </w:r>
      <w:r>
        <w:rPr>
          <w:rFonts w:ascii="Cambria" w:hAnsi="Cambria" w:cs="Segoe UI"/>
          <w:color w:val="212121"/>
        </w:rPr>
        <w:t xml:space="preserve"> </w:t>
      </w:r>
      <w:r w:rsidRPr="000B7024">
        <w:rPr>
          <w:rFonts w:ascii="Cambria" w:hAnsi="Cambria" w:cs="Segoe UI"/>
          <w:color w:val="212121"/>
        </w:rPr>
        <w:t>Urbana, IL: University of Illinois and Indiana University, National Institute for Learning Outcomes Assessment (NILOA).</w:t>
      </w:r>
    </w:p>
    <w:p w14:paraId="0992F1B0" w14:textId="77777777" w:rsidR="00404D04" w:rsidRPr="00404D04" w:rsidRDefault="00404D04" w:rsidP="00404D04">
      <w:pPr>
        <w:pStyle w:val="NormalWeb"/>
        <w:shd w:val="clear" w:color="auto" w:fill="FFFFFF"/>
        <w:ind w:left="720" w:hanging="720"/>
        <w:rPr>
          <w:rFonts w:ascii="Cambria" w:hAnsi="Cambria" w:cs="Arial"/>
          <w:color w:val="333333"/>
        </w:rPr>
      </w:pPr>
      <w:r w:rsidRPr="00404D04">
        <w:rPr>
          <w:rFonts w:ascii="Cambria" w:hAnsi="Cambria" w:cs="Arial"/>
          <w:color w:val="333333"/>
        </w:rPr>
        <w:t>Montenegro, E., &amp; Jankowski, N. A. (2017, January). </w:t>
      </w:r>
      <w:r w:rsidRPr="00404D04">
        <w:rPr>
          <w:rFonts w:ascii="Cambria" w:hAnsi="Cambria" w:cs="Arial"/>
          <w:bCs/>
          <w:i/>
          <w:iCs/>
          <w:color w:val="333333"/>
        </w:rPr>
        <w:t>Equity and assessment: Moving towards culturally responsive assessment.</w:t>
      </w:r>
      <w:r w:rsidRPr="00404D04">
        <w:rPr>
          <w:rFonts w:ascii="Cambria" w:hAnsi="Cambria" w:cs="Arial"/>
          <w:i/>
          <w:color w:val="333333"/>
        </w:rPr>
        <w:t> </w:t>
      </w:r>
      <w:r w:rsidRPr="00404D04">
        <w:rPr>
          <w:rFonts w:ascii="Cambria" w:hAnsi="Cambria" w:cs="Arial"/>
          <w:color w:val="333333"/>
        </w:rPr>
        <w:t>(Occasional Paper No. 29). Urbana, IL: University of Illinois and Indiana University, National Institute for Learning Outcomes Assessment (NILOA).</w:t>
      </w:r>
    </w:p>
    <w:p w14:paraId="654E9DCA" w14:textId="77777777" w:rsidR="0098129F" w:rsidRPr="0098129F" w:rsidRDefault="0098129F" w:rsidP="0098129F">
      <w:pPr>
        <w:pStyle w:val="NormalWeb"/>
        <w:shd w:val="clear" w:color="auto" w:fill="FFFFFF"/>
        <w:ind w:left="720" w:hanging="720"/>
        <w:rPr>
          <w:rFonts w:ascii="Cambria" w:hAnsi="Cambria" w:cs="Arial"/>
          <w:color w:val="333333"/>
        </w:rPr>
      </w:pPr>
      <w:r>
        <w:rPr>
          <w:rFonts w:ascii="Cambria" w:hAnsi="Cambria" w:cs="Segoe UI"/>
          <w:color w:val="212121"/>
        </w:rPr>
        <w:lastRenderedPageBreak/>
        <w:t xml:space="preserve">National Institute for Learning Outcomes Assessment. (2016, May). </w:t>
      </w:r>
      <w:r>
        <w:rPr>
          <w:rFonts w:ascii="Cambria" w:hAnsi="Cambria" w:cs="Segoe UI"/>
          <w:i/>
          <w:color w:val="212121"/>
        </w:rPr>
        <w:t xml:space="preserve">Higher education quality: Why documenting learning matters. </w:t>
      </w:r>
      <w:r>
        <w:rPr>
          <w:rFonts w:ascii="Cambria" w:hAnsi="Cambria" w:cs="Segoe UI"/>
          <w:color w:val="212121"/>
        </w:rPr>
        <w:t xml:space="preserve">Urbana, IL: University of Illinois and Indiana University, Author. </w:t>
      </w:r>
    </w:p>
    <w:p w14:paraId="140838B6" w14:textId="77777777" w:rsidR="00106530" w:rsidRPr="00945994" w:rsidRDefault="00106530" w:rsidP="00945994">
      <w:pPr>
        <w:pStyle w:val="NormalWeb"/>
        <w:ind w:left="720" w:hanging="720"/>
        <w:rPr>
          <w:rFonts w:ascii="Cambria" w:hAnsi="Cambria"/>
        </w:rPr>
      </w:pPr>
      <w:r w:rsidRPr="00945994">
        <w:rPr>
          <w:rFonts w:ascii="Cambria" w:hAnsi="Cambria"/>
        </w:rPr>
        <w:t xml:space="preserve">New Leadership Alliance for Student Learning and Accountability. </w:t>
      </w:r>
      <w:r w:rsidR="00CB5B2E" w:rsidRPr="00945994">
        <w:rPr>
          <w:rFonts w:ascii="Cambria" w:hAnsi="Cambria"/>
        </w:rPr>
        <w:t>(</w:t>
      </w:r>
      <w:r w:rsidRPr="00945994">
        <w:rPr>
          <w:rFonts w:ascii="Cambria" w:hAnsi="Cambria"/>
        </w:rPr>
        <w:t>2012</w:t>
      </w:r>
      <w:r w:rsidR="00CB5B2E" w:rsidRPr="00945994">
        <w:rPr>
          <w:rFonts w:ascii="Cambria" w:hAnsi="Cambria"/>
        </w:rPr>
        <w:t>)</w:t>
      </w:r>
      <w:r w:rsidRPr="00945994">
        <w:rPr>
          <w:rFonts w:ascii="Cambria" w:hAnsi="Cambria"/>
        </w:rPr>
        <w:t xml:space="preserve">. </w:t>
      </w:r>
      <w:r w:rsidRPr="00945994">
        <w:rPr>
          <w:rFonts w:ascii="Cambria" w:hAnsi="Cambria"/>
          <w:i/>
          <w:iCs/>
        </w:rPr>
        <w:t>Committing to quality: Guidelines for Assessment and Accountability in Higher Education</w:t>
      </w:r>
      <w:r w:rsidRPr="00945994">
        <w:rPr>
          <w:rFonts w:ascii="Cambria" w:hAnsi="Cambria"/>
        </w:rPr>
        <w:t xml:space="preserve">. Washington, DC: </w:t>
      </w:r>
      <w:r w:rsidR="00945994">
        <w:rPr>
          <w:rFonts w:ascii="Cambria" w:hAnsi="Cambria"/>
        </w:rPr>
        <w:t>Author</w:t>
      </w:r>
      <w:r w:rsidRPr="00945994">
        <w:rPr>
          <w:rFonts w:ascii="Cambria" w:hAnsi="Cambria"/>
        </w:rPr>
        <w:t xml:space="preserve"> </w:t>
      </w:r>
      <w:hyperlink r:id="rId12" w:history="1">
        <w:r w:rsidRPr="00945994">
          <w:rPr>
            <w:rStyle w:val="Hyperlink"/>
            <w:rFonts w:ascii="Cambria" w:hAnsi="Cambria"/>
          </w:rPr>
          <w:t>http://www.chea.org/userfiles/PDFs/alliance-committing-to-quality.pdf</w:t>
        </w:r>
      </w:hyperlink>
      <w:r w:rsidRPr="00945994">
        <w:rPr>
          <w:rFonts w:ascii="Cambria" w:hAnsi="Cambria"/>
        </w:rPr>
        <w:t xml:space="preserve"> </w:t>
      </w:r>
    </w:p>
    <w:p w14:paraId="1A7447EE" w14:textId="77777777" w:rsidR="005E0FA2" w:rsidRPr="00945994" w:rsidRDefault="00106530" w:rsidP="00BD2492">
      <w:pPr>
        <w:pStyle w:val="NormalWeb"/>
        <w:ind w:left="720" w:hanging="720"/>
        <w:rPr>
          <w:rFonts w:ascii="Cambria" w:hAnsi="Cambria"/>
        </w:rPr>
      </w:pPr>
      <w:r w:rsidRPr="00945994">
        <w:rPr>
          <w:rFonts w:ascii="Cambria" w:hAnsi="Cambria"/>
        </w:rPr>
        <w:t>Western Association</w:t>
      </w:r>
      <w:r w:rsidR="00945994">
        <w:rPr>
          <w:rFonts w:ascii="Cambria" w:hAnsi="Cambria"/>
        </w:rPr>
        <w:t xml:space="preserve"> for Schools and Colleges</w:t>
      </w:r>
      <w:r w:rsidRPr="00945994">
        <w:rPr>
          <w:rFonts w:ascii="Cambria" w:hAnsi="Cambria"/>
        </w:rPr>
        <w:t>, Senior College and University Commission</w:t>
      </w:r>
      <w:r w:rsidR="00945994">
        <w:rPr>
          <w:rFonts w:ascii="Cambria" w:hAnsi="Cambria"/>
        </w:rPr>
        <w:t xml:space="preserve"> [WSCUC]. (2013).</w:t>
      </w:r>
      <w:r w:rsidRPr="00945994">
        <w:rPr>
          <w:rFonts w:ascii="Cambria" w:hAnsi="Cambria"/>
        </w:rPr>
        <w:t xml:space="preserve"> </w:t>
      </w:r>
      <w:r w:rsidR="00945994">
        <w:rPr>
          <w:rFonts w:ascii="Cambria" w:hAnsi="Cambria"/>
          <w:i/>
          <w:iCs/>
        </w:rPr>
        <w:t>Princi</w:t>
      </w:r>
      <w:r w:rsidRPr="00945994">
        <w:rPr>
          <w:rFonts w:ascii="Cambria" w:hAnsi="Cambria"/>
          <w:i/>
          <w:iCs/>
        </w:rPr>
        <w:t>ples f</w:t>
      </w:r>
      <w:r w:rsidR="00945994">
        <w:rPr>
          <w:rFonts w:ascii="Cambria" w:hAnsi="Cambria"/>
          <w:i/>
          <w:iCs/>
        </w:rPr>
        <w:t>or Effective Assessment of Stu</w:t>
      </w:r>
      <w:r w:rsidRPr="00945994">
        <w:rPr>
          <w:rFonts w:ascii="Cambria" w:hAnsi="Cambria"/>
          <w:i/>
          <w:iCs/>
        </w:rPr>
        <w:t>dent Achievement</w:t>
      </w:r>
      <w:r w:rsidR="00945994">
        <w:rPr>
          <w:rFonts w:ascii="Cambria" w:hAnsi="Cambria"/>
        </w:rPr>
        <w:t>. Alameda, CA: Author</w:t>
      </w:r>
      <w:r w:rsidRPr="00945994">
        <w:rPr>
          <w:rFonts w:ascii="Cambria" w:hAnsi="Cambria"/>
        </w:rPr>
        <w:t xml:space="preserve">. </w:t>
      </w:r>
      <w:hyperlink r:id="rId13" w:history="1">
        <w:r w:rsidRPr="00945994">
          <w:rPr>
            <w:rStyle w:val="Hyperlink"/>
            <w:rFonts w:ascii="Cambria" w:hAnsi="Cambria"/>
          </w:rPr>
          <w:t>https://www.wscuc.org/content/principles-effective-assessment-student-achievement</w:t>
        </w:r>
      </w:hyperlink>
      <w:r w:rsidRPr="00945994">
        <w:rPr>
          <w:rFonts w:ascii="Cambria" w:hAnsi="Cambria"/>
        </w:rPr>
        <w:t xml:space="preserve"> </w:t>
      </w:r>
    </w:p>
    <w:sectPr w:rsidR="005E0FA2" w:rsidRPr="00945994" w:rsidSect="00003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DB"/>
    <w:rsid w:val="0000371B"/>
    <w:rsid w:val="00003C53"/>
    <w:rsid w:val="000B7024"/>
    <w:rsid w:val="00106530"/>
    <w:rsid w:val="00150E6E"/>
    <w:rsid w:val="00171B07"/>
    <w:rsid w:val="001A0A7D"/>
    <w:rsid w:val="001D5D65"/>
    <w:rsid w:val="001E02F9"/>
    <w:rsid w:val="00240CC6"/>
    <w:rsid w:val="002E7028"/>
    <w:rsid w:val="00385332"/>
    <w:rsid w:val="003B1A76"/>
    <w:rsid w:val="00404D04"/>
    <w:rsid w:val="004E2977"/>
    <w:rsid w:val="005820BF"/>
    <w:rsid w:val="005D7620"/>
    <w:rsid w:val="005E0FA2"/>
    <w:rsid w:val="00647A1E"/>
    <w:rsid w:val="00655EE0"/>
    <w:rsid w:val="007967E8"/>
    <w:rsid w:val="007B1D72"/>
    <w:rsid w:val="007B5587"/>
    <w:rsid w:val="00945994"/>
    <w:rsid w:val="00950E36"/>
    <w:rsid w:val="0098129F"/>
    <w:rsid w:val="009B67B4"/>
    <w:rsid w:val="00A2049A"/>
    <w:rsid w:val="00A62C98"/>
    <w:rsid w:val="00AA70CF"/>
    <w:rsid w:val="00AD0D25"/>
    <w:rsid w:val="00B60680"/>
    <w:rsid w:val="00B868E4"/>
    <w:rsid w:val="00BD2492"/>
    <w:rsid w:val="00C01316"/>
    <w:rsid w:val="00C028E1"/>
    <w:rsid w:val="00C84888"/>
    <w:rsid w:val="00C875D9"/>
    <w:rsid w:val="00CB5B2E"/>
    <w:rsid w:val="00E01ADB"/>
    <w:rsid w:val="00E604BA"/>
    <w:rsid w:val="00E83B0D"/>
    <w:rsid w:val="00E94BBF"/>
    <w:rsid w:val="00EB7887"/>
    <w:rsid w:val="00F14AB5"/>
    <w:rsid w:val="00F43207"/>
    <w:rsid w:val="00F51E3C"/>
    <w:rsid w:val="00F71688"/>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7952"/>
  <w15:chartTrackingRefBased/>
  <w15:docId w15:val="{4634098E-6AD2-174D-B9A7-DAC6F534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FA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E0FA2"/>
  </w:style>
  <w:style w:type="character" w:styleId="Emphasis">
    <w:name w:val="Emphasis"/>
    <w:basedOn w:val="DefaultParagraphFont"/>
    <w:uiPriority w:val="20"/>
    <w:qFormat/>
    <w:rsid w:val="005E0FA2"/>
    <w:rPr>
      <w:i/>
      <w:iCs/>
    </w:rPr>
  </w:style>
  <w:style w:type="character" w:styleId="Hyperlink">
    <w:name w:val="Hyperlink"/>
    <w:basedOn w:val="DefaultParagraphFont"/>
    <w:uiPriority w:val="99"/>
    <w:unhideWhenUsed/>
    <w:rsid w:val="005E0FA2"/>
    <w:rPr>
      <w:color w:val="0000FF"/>
      <w:u w:val="single"/>
    </w:rPr>
  </w:style>
  <w:style w:type="character" w:styleId="Strong">
    <w:name w:val="Strong"/>
    <w:basedOn w:val="DefaultParagraphFont"/>
    <w:uiPriority w:val="22"/>
    <w:qFormat/>
    <w:rsid w:val="003B1A76"/>
    <w:rPr>
      <w:b/>
      <w:bCs/>
    </w:rPr>
  </w:style>
  <w:style w:type="character" w:styleId="UnresolvedMention">
    <w:name w:val="Unresolved Mention"/>
    <w:basedOn w:val="DefaultParagraphFont"/>
    <w:uiPriority w:val="99"/>
    <w:rsid w:val="00FC7C6B"/>
    <w:rPr>
      <w:color w:val="808080"/>
      <w:shd w:val="clear" w:color="auto" w:fill="E6E6E6"/>
    </w:rPr>
  </w:style>
  <w:style w:type="character" w:styleId="FollowedHyperlink">
    <w:name w:val="FollowedHyperlink"/>
    <w:basedOn w:val="DefaultParagraphFont"/>
    <w:uiPriority w:val="99"/>
    <w:semiHidden/>
    <w:unhideWhenUsed/>
    <w:rsid w:val="009459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4688">
      <w:bodyDiv w:val="1"/>
      <w:marLeft w:val="0"/>
      <w:marRight w:val="0"/>
      <w:marTop w:val="0"/>
      <w:marBottom w:val="0"/>
      <w:divBdr>
        <w:top w:val="none" w:sz="0" w:space="0" w:color="auto"/>
        <w:left w:val="none" w:sz="0" w:space="0" w:color="auto"/>
        <w:bottom w:val="none" w:sz="0" w:space="0" w:color="auto"/>
        <w:right w:val="none" w:sz="0" w:space="0" w:color="auto"/>
      </w:divBdr>
    </w:div>
    <w:div w:id="475727487">
      <w:bodyDiv w:val="1"/>
      <w:marLeft w:val="0"/>
      <w:marRight w:val="0"/>
      <w:marTop w:val="0"/>
      <w:marBottom w:val="0"/>
      <w:divBdr>
        <w:top w:val="none" w:sz="0" w:space="0" w:color="auto"/>
        <w:left w:val="none" w:sz="0" w:space="0" w:color="auto"/>
        <w:bottom w:val="none" w:sz="0" w:space="0" w:color="auto"/>
        <w:right w:val="none" w:sz="0" w:space="0" w:color="auto"/>
      </w:divBdr>
    </w:div>
    <w:div w:id="491146994">
      <w:bodyDiv w:val="1"/>
      <w:marLeft w:val="0"/>
      <w:marRight w:val="0"/>
      <w:marTop w:val="0"/>
      <w:marBottom w:val="0"/>
      <w:divBdr>
        <w:top w:val="none" w:sz="0" w:space="0" w:color="auto"/>
        <w:left w:val="none" w:sz="0" w:space="0" w:color="auto"/>
        <w:bottom w:val="none" w:sz="0" w:space="0" w:color="auto"/>
        <w:right w:val="none" w:sz="0" w:space="0" w:color="auto"/>
      </w:divBdr>
      <w:divsChild>
        <w:div w:id="1396202059">
          <w:marLeft w:val="0"/>
          <w:marRight w:val="0"/>
          <w:marTop w:val="0"/>
          <w:marBottom w:val="0"/>
          <w:divBdr>
            <w:top w:val="none" w:sz="0" w:space="0" w:color="auto"/>
            <w:left w:val="none" w:sz="0" w:space="0" w:color="auto"/>
            <w:bottom w:val="none" w:sz="0" w:space="0" w:color="auto"/>
            <w:right w:val="none" w:sz="0" w:space="0" w:color="auto"/>
          </w:divBdr>
          <w:divsChild>
            <w:div w:id="1597134099">
              <w:marLeft w:val="0"/>
              <w:marRight w:val="0"/>
              <w:marTop w:val="0"/>
              <w:marBottom w:val="0"/>
              <w:divBdr>
                <w:top w:val="none" w:sz="0" w:space="0" w:color="auto"/>
                <w:left w:val="none" w:sz="0" w:space="0" w:color="auto"/>
                <w:bottom w:val="none" w:sz="0" w:space="0" w:color="auto"/>
                <w:right w:val="none" w:sz="0" w:space="0" w:color="auto"/>
              </w:divBdr>
              <w:divsChild>
                <w:div w:id="229971028">
                  <w:marLeft w:val="0"/>
                  <w:marRight w:val="0"/>
                  <w:marTop w:val="0"/>
                  <w:marBottom w:val="0"/>
                  <w:divBdr>
                    <w:top w:val="none" w:sz="0" w:space="0" w:color="auto"/>
                    <w:left w:val="none" w:sz="0" w:space="0" w:color="auto"/>
                    <w:bottom w:val="none" w:sz="0" w:space="0" w:color="auto"/>
                    <w:right w:val="none" w:sz="0" w:space="0" w:color="auto"/>
                  </w:divBdr>
                  <w:divsChild>
                    <w:div w:id="17866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23651">
      <w:bodyDiv w:val="1"/>
      <w:marLeft w:val="0"/>
      <w:marRight w:val="0"/>
      <w:marTop w:val="0"/>
      <w:marBottom w:val="0"/>
      <w:divBdr>
        <w:top w:val="none" w:sz="0" w:space="0" w:color="auto"/>
        <w:left w:val="none" w:sz="0" w:space="0" w:color="auto"/>
        <w:bottom w:val="none" w:sz="0" w:space="0" w:color="auto"/>
        <w:right w:val="none" w:sz="0" w:space="0" w:color="auto"/>
      </w:divBdr>
    </w:div>
    <w:div w:id="572742188">
      <w:bodyDiv w:val="1"/>
      <w:marLeft w:val="0"/>
      <w:marRight w:val="0"/>
      <w:marTop w:val="0"/>
      <w:marBottom w:val="0"/>
      <w:divBdr>
        <w:top w:val="none" w:sz="0" w:space="0" w:color="auto"/>
        <w:left w:val="none" w:sz="0" w:space="0" w:color="auto"/>
        <w:bottom w:val="none" w:sz="0" w:space="0" w:color="auto"/>
        <w:right w:val="none" w:sz="0" w:space="0" w:color="auto"/>
      </w:divBdr>
      <w:divsChild>
        <w:div w:id="94057750">
          <w:marLeft w:val="0"/>
          <w:marRight w:val="0"/>
          <w:marTop w:val="0"/>
          <w:marBottom w:val="0"/>
          <w:divBdr>
            <w:top w:val="none" w:sz="0" w:space="0" w:color="auto"/>
            <w:left w:val="none" w:sz="0" w:space="0" w:color="auto"/>
            <w:bottom w:val="none" w:sz="0" w:space="0" w:color="auto"/>
            <w:right w:val="none" w:sz="0" w:space="0" w:color="auto"/>
          </w:divBdr>
          <w:divsChild>
            <w:div w:id="1147548852">
              <w:marLeft w:val="0"/>
              <w:marRight w:val="0"/>
              <w:marTop w:val="0"/>
              <w:marBottom w:val="0"/>
              <w:divBdr>
                <w:top w:val="none" w:sz="0" w:space="0" w:color="auto"/>
                <w:left w:val="none" w:sz="0" w:space="0" w:color="auto"/>
                <w:bottom w:val="none" w:sz="0" w:space="0" w:color="auto"/>
                <w:right w:val="none" w:sz="0" w:space="0" w:color="auto"/>
              </w:divBdr>
              <w:divsChild>
                <w:div w:id="6246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5437">
      <w:bodyDiv w:val="1"/>
      <w:marLeft w:val="0"/>
      <w:marRight w:val="0"/>
      <w:marTop w:val="0"/>
      <w:marBottom w:val="0"/>
      <w:divBdr>
        <w:top w:val="none" w:sz="0" w:space="0" w:color="auto"/>
        <w:left w:val="none" w:sz="0" w:space="0" w:color="auto"/>
        <w:bottom w:val="none" w:sz="0" w:space="0" w:color="auto"/>
        <w:right w:val="none" w:sz="0" w:space="0" w:color="auto"/>
      </w:divBdr>
      <w:divsChild>
        <w:div w:id="741870607">
          <w:marLeft w:val="0"/>
          <w:marRight w:val="0"/>
          <w:marTop w:val="0"/>
          <w:marBottom w:val="0"/>
          <w:divBdr>
            <w:top w:val="none" w:sz="0" w:space="0" w:color="auto"/>
            <w:left w:val="none" w:sz="0" w:space="0" w:color="auto"/>
            <w:bottom w:val="none" w:sz="0" w:space="0" w:color="auto"/>
            <w:right w:val="none" w:sz="0" w:space="0" w:color="auto"/>
          </w:divBdr>
          <w:divsChild>
            <w:div w:id="2132627436">
              <w:marLeft w:val="0"/>
              <w:marRight w:val="0"/>
              <w:marTop w:val="0"/>
              <w:marBottom w:val="0"/>
              <w:divBdr>
                <w:top w:val="none" w:sz="0" w:space="0" w:color="auto"/>
                <w:left w:val="none" w:sz="0" w:space="0" w:color="auto"/>
                <w:bottom w:val="none" w:sz="0" w:space="0" w:color="auto"/>
                <w:right w:val="none" w:sz="0" w:space="0" w:color="auto"/>
              </w:divBdr>
              <w:divsChild>
                <w:div w:id="1963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245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30">
          <w:marLeft w:val="0"/>
          <w:marRight w:val="0"/>
          <w:marTop w:val="0"/>
          <w:marBottom w:val="0"/>
          <w:divBdr>
            <w:top w:val="none" w:sz="0" w:space="0" w:color="auto"/>
            <w:left w:val="none" w:sz="0" w:space="0" w:color="auto"/>
            <w:bottom w:val="none" w:sz="0" w:space="0" w:color="auto"/>
            <w:right w:val="none" w:sz="0" w:space="0" w:color="auto"/>
          </w:divBdr>
          <w:divsChild>
            <w:div w:id="637149332">
              <w:marLeft w:val="0"/>
              <w:marRight w:val="0"/>
              <w:marTop w:val="0"/>
              <w:marBottom w:val="0"/>
              <w:divBdr>
                <w:top w:val="none" w:sz="0" w:space="0" w:color="auto"/>
                <w:left w:val="none" w:sz="0" w:space="0" w:color="auto"/>
                <w:bottom w:val="none" w:sz="0" w:space="0" w:color="auto"/>
                <w:right w:val="none" w:sz="0" w:space="0" w:color="auto"/>
              </w:divBdr>
              <w:divsChild>
                <w:div w:id="8575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51807">
      <w:bodyDiv w:val="1"/>
      <w:marLeft w:val="0"/>
      <w:marRight w:val="0"/>
      <w:marTop w:val="0"/>
      <w:marBottom w:val="0"/>
      <w:divBdr>
        <w:top w:val="none" w:sz="0" w:space="0" w:color="auto"/>
        <w:left w:val="none" w:sz="0" w:space="0" w:color="auto"/>
        <w:bottom w:val="none" w:sz="0" w:space="0" w:color="auto"/>
        <w:right w:val="none" w:sz="0" w:space="0" w:color="auto"/>
      </w:divBdr>
    </w:div>
    <w:div w:id="890773792">
      <w:bodyDiv w:val="1"/>
      <w:marLeft w:val="0"/>
      <w:marRight w:val="0"/>
      <w:marTop w:val="0"/>
      <w:marBottom w:val="0"/>
      <w:divBdr>
        <w:top w:val="none" w:sz="0" w:space="0" w:color="auto"/>
        <w:left w:val="none" w:sz="0" w:space="0" w:color="auto"/>
        <w:bottom w:val="none" w:sz="0" w:space="0" w:color="auto"/>
        <w:right w:val="none" w:sz="0" w:space="0" w:color="auto"/>
      </w:divBdr>
      <w:divsChild>
        <w:div w:id="31270135">
          <w:marLeft w:val="0"/>
          <w:marRight w:val="0"/>
          <w:marTop w:val="0"/>
          <w:marBottom w:val="0"/>
          <w:divBdr>
            <w:top w:val="none" w:sz="0" w:space="0" w:color="auto"/>
            <w:left w:val="none" w:sz="0" w:space="0" w:color="auto"/>
            <w:bottom w:val="none" w:sz="0" w:space="0" w:color="auto"/>
            <w:right w:val="none" w:sz="0" w:space="0" w:color="auto"/>
          </w:divBdr>
          <w:divsChild>
            <w:div w:id="743188232">
              <w:marLeft w:val="0"/>
              <w:marRight w:val="0"/>
              <w:marTop w:val="0"/>
              <w:marBottom w:val="0"/>
              <w:divBdr>
                <w:top w:val="none" w:sz="0" w:space="0" w:color="auto"/>
                <w:left w:val="none" w:sz="0" w:space="0" w:color="auto"/>
                <w:bottom w:val="none" w:sz="0" w:space="0" w:color="auto"/>
                <w:right w:val="none" w:sz="0" w:space="0" w:color="auto"/>
              </w:divBdr>
              <w:divsChild>
                <w:div w:id="5171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3701">
      <w:bodyDiv w:val="1"/>
      <w:marLeft w:val="0"/>
      <w:marRight w:val="0"/>
      <w:marTop w:val="0"/>
      <w:marBottom w:val="0"/>
      <w:divBdr>
        <w:top w:val="none" w:sz="0" w:space="0" w:color="auto"/>
        <w:left w:val="none" w:sz="0" w:space="0" w:color="auto"/>
        <w:bottom w:val="none" w:sz="0" w:space="0" w:color="auto"/>
        <w:right w:val="none" w:sz="0" w:space="0" w:color="auto"/>
      </w:divBdr>
    </w:div>
    <w:div w:id="896165915">
      <w:bodyDiv w:val="1"/>
      <w:marLeft w:val="0"/>
      <w:marRight w:val="0"/>
      <w:marTop w:val="0"/>
      <w:marBottom w:val="0"/>
      <w:divBdr>
        <w:top w:val="none" w:sz="0" w:space="0" w:color="auto"/>
        <w:left w:val="none" w:sz="0" w:space="0" w:color="auto"/>
        <w:bottom w:val="none" w:sz="0" w:space="0" w:color="auto"/>
        <w:right w:val="none" w:sz="0" w:space="0" w:color="auto"/>
      </w:divBdr>
      <w:divsChild>
        <w:div w:id="1421096244">
          <w:marLeft w:val="0"/>
          <w:marRight w:val="0"/>
          <w:marTop w:val="0"/>
          <w:marBottom w:val="0"/>
          <w:divBdr>
            <w:top w:val="none" w:sz="0" w:space="0" w:color="auto"/>
            <w:left w:val="none" w:sz="0" w:space="0" w:color="auto"/>
            <w:bottom w:val="none" w:sz="0" w:space="0" w:color="auto"/>
            <w:right w:val="none" w:sz="0" w:space="0" w:color="auto"/>
          </w:divBdr>
          <w:divsChild>
            <w:div w:id="978463139">
              <w:marLeft w:val="0"/>
              <w:marRight w:val="0"/>
              <w:marTop w:val="0"/>
              <w:marBottom w:val="0"/>
              <w:divBdr>
                <w:top w:val="none" w:sz="0" w:space="0" w:color="auto"/>
                <w:left w:val="none" w:sz="0" w:space="0" w:color="auto"/>
                <w:bottom w:val="none" w:sz="0" w:space="0" w:color="auto"/>
                <w:right w:val="none" w:sz="0" w:space="0" w:color="auto"/>
              </w:divBdr>
              <w:divsChild>
                <w:div w:id="8479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2310">
      <w:bodyDiv w:val="1"/>
      <w:marLeft w:val="0"/>
      <w:marRight w:val="0"/>
      <w:marTop w:val="0"/>
      <w:marBottom w:val="0"/>
      <w:divBdr>
        <w:top w:val="none" w:sz="0" w:space="0" w:color="auto"/>
        <w:left w:val="none" w:sz="0" w:space="0" w:color="auto"/>
        <w:bottom w:val="none" w:sz="0" w:space="0" w:color="auto"/>
        <w:right w:val="none" w:sz="0" w:space="0" w:color="auto"/>
      </w:divBdr>
    </w:div>
    <w:div w:id="1095904876">
      <w:bodyDiv w:val="1"/>
      <w:marLeft w:val="0"/>
      <w:marRight w:val="0"/>
      <w:marTop w:val="0"/>
      <w:marBottom w:val="0"/>
      <w:divBdr>
        <w:top w:val="none" w:sz="0" w:space="0" w:color="auto"/>
        <w:left w:val="none" w:sz="0" w:space="0" w:color="auto"/>
        <w:bottom w:val="none" w:sz="0" w:space="0" w:color="auto"/>
        <w:right w:val="none" w:sz="0" w:space="0" w:color="auto"/>
      </w:divBdr>
    </w:div>
    <w:div w:id="1343897392">
      <w:bodyDiv w:val="1"/>
      <w:marLeft w:val="0"/>
      <w:marRight w:val="0"/>
      <w:marTop w:val="0"/>
      <w:marBottom w:val="0"/>
      <w:divBdr>
        <w:top w:val="none" w:sz="0" w:space="0" w:color="auto"/>
        <w:left w:val="none" w:sz="0" w:space="0" w:color="auto"/>
        <w:bottom w:val="none" w:sz="0" w:space="0" w:color="auto"/>
        <w:right w:val="none" w:sz="0" w:space="0" w:color="auto"/>
      </w:divBdr>
      <w:divsChild>
        <w:div w:id="1511720629">
          <w:marLeft w:val="0"/>
          <w:marRight w:val="0"/>
          <w:marTop w:val="0"/>
          <w:marBottom w:val="0"/>
          <w:divBdr>
            <w:top w:val="none" w:sz="0" w:space="0" w:color="auto"/>
            <w:left w:val="none" w:sz="0" w:space="0" w:color="auto"/>
            <w:bottom w:val="none" w:sz="0" w:space="0" w:color="auto"/>
            <w:right w:val="none" w:sz="0" w:space="0" w:color="auto"/>
          </w:divBdr>
          <w:divsChild>
            <w:div w:id="1264415044">
              <w:marLeft w:val="0"/>
              <w:marRight w:val="0"/>
              <w:marTop w:val="0"/>
              <w:marBottom w:val="0"/>
              <w:divBdr>
                <w:top w:val="none" w:sz="0" w:space="0" w:color="auto"/>
                <w:left w:val="none" w:sz="0" w:space="0" w:color="auto"/>
                <w:bottom w:val="none" w:sz="0" w:space="0" w:color="auto"/>
                <w:right w:val="none" w:sz="0" w:space="0" w:color="auto"/>
              </w:divBdr>
              <w:divsChild>
                <w:div w:id="484901536">
                  <w:marLeft w:val="0"/>
                  <w:marRight w:val="0"/>
                  <w:marTop w:val="0"/>
                  <w:marBottom w:val="0"/>
                  <w:divBdr>
                    <w:top w:val="none" w:sz="0" w:space="0" w:color="auto"/>
                    <w:left w:val="none" w:sz="0" w:space="0" w:color="auto"/>
                    <w:bottom w:val="none" w:sz="0" w:space="0" w:color="auto"/>
                    <w:right w:val="none" w:sz="0" w:space="0" w:color="auto"/>
                  </w:divBdr>
                  <w:divsChild>
                    <w:div w:id="7807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349252">
      <w:bodyDiv w:val="1"/>
      <w:marLeft w:val="0"/>
      <w:marRight w:val="0"/>
      <w:marTop w:val="0"/>
      <w:marBottom w:val="0"/>
      <w:divBdr>
        <w:top w:val="none" w:sz="0" w:space="0" w:color="auto"/>
        <w:left w:val="none" w:sz="0" w:space="0" w:color="auto"/>
        <w:bottom w:val="none" w:sz="0" w:space="0" w:color="auto"/>
        <w:right w:val="none" w:sz="0" w:space="0" w:color="auto"/>
      </w:divBdr>
    </w:div>
    <w:div w:id="1593706530">
      <w:bodyDiv w:val="1"/>
      <w:marLeft w:val="0"/>
      <w:marRight w:val="0"/>
      <w:marTop w:val="0"/>
      <w:marBottom w:val="0"/>
      <w:divBdr>
        <w:top w:val="none" w:sz="0" w:space="0" w:color="auto"/>
        <w:left w:val="none" w:sz="0" w:space="0" w:color="auto"/>
        <w:bottom w:val="none" w:sz="0" w:space="0" w:color="auto"/>
        <w:right w:val="none" w:sz="0" w:space="0" w:color="auto"/>
      </w:divBdr>
    </w:div>
    <w:div w:id="2058310837">
      <w:bodyDiv w:val="1"/>
      <w:marLeft w:val="0"/>
      <w:marRight w:val="0"/>
      <w:marTop w:val="0"/>
      <w:marBottom w:val="0"/>
      <w:divBdr>
        <w:top w:val="none" w:sz="0" w:space="0" w:color="auto"/>
        <w:left w:val="none" w:sz="0" w:space="0" w:color="auto"/>
        <w:bottom w:val="none" w:sz="0" w:space="0" w:color="auto"/>
        <w:right w:val="none" w:sz="0" w:space="0" w:color="auto"/>
      </w:divBdr>
      <w:divsChild>
        <w:div w:id="939339175">
          <w:marLeft w:val="720"/>
          <w:marRight w:val="0"/>
          <w:marTop w:val="0"/>
          <w:marBottom w:val="0"/>
          <w:divBdr>
            <w:top w:val="none" w:sz="0" w:space="0" w:color="auto"/>
            <w:left w:val="none" w:sz="0" w:space="0" w:color="auto"/>
            <w:bottom w:val="none" w:sz="0" w:space="0" w:color="auto"/>
            <w:right w:val="none" w:sz="0" w:space="0" w:color="auto"/>
          </w:divBdr>
        </w:div>
        <w:div w:id="2068841438">
          <w:marLeft w:val="720"/>
          <w:marRight w:val="0"/>
          <w:marTop w:val="0"/>
          <w:marBottom w:val="0"/>
          <w:divBdr>
            <w:top w:val="none" w:sz="0" w:space="0" w:color="auto"/>
            <w:left w:val="none" w:sz="0" w:space="0" w:color="auto"/>
            <w:bottom w:val="none" w:sz="0" w:space="0" w:color="auto"/>
            <w:right w:val="none" w:sz="0" w:space="0" w:color="auto"/>
          </w:divBdr>
        </w:div>
        <w:div w:id="1446464891">
          <w:marLeft w:val="720"/>
          <w:marRight w:val="0"/>
          <w:marTop w:val="0"/>
          <w:marBottom w:val="0"/>
          <w:divBdr>
            <w:top w:val="none" w:sz="0" w:space="0" w:color="auto"/>
            <w:left w:val="none" w:sz="0" w:space="0" w:color="auto"/>
            <w:bottom w:val="none" w:sz="0" w:space="0" w:color="auto"/>
            <w:right w:val="none" w:sz="0" w:space="0" w:color="auto"/>
          </w:divBdr>
        </w:div>
      </w:divsChild>
    </w:div>
    <w:div w:id="2073502483">
      <w:bodyDiv w:val="1"/>
      <w:marLeft w:val="0"/>
      <w:marRight w:val="0"/>
      <w:marTop w:val="0"/>
      <w:marBottom w:val="0"/>
      <w:divBdr>
        <w:top w:val="none" w:sz="0" w:space="0" w:color="auto"/>
        <w:left w:val="none" w:sz="0" w:space="0" w:color="auto"/>
        <w:bottom w:val="none" w:sz="0" w:space="0" w:color="auto"/>
        <w:right w:val="none" w:sz="0" w:space="0" w:color="auto"/>
      </w:divBdr>
      <w:divsChild>
        <w:div w:id="1383287569">
          <w:marLeft w:val="0"/>
          <w:marRight w:val="0"/>
          <w:marTop w:val="0"/>
          <w:marBottom w:val="0"/>
          <w:divBdr>
            <w:top w:val="none" w:sz="0" w:space="0" w:color="auto"/>
            <w:left w:val="none" w:sz="0" w:space="0" w:color="auto"/>
            <w:bottom w:val="none" w:sz="0" w:space="0" w:color="auto"/>
            <w:right w:val="none" w:sz="0" w:space="0" w:color="auto"/>
          </w:divBdr>
          <w:divsChild>
            <w:div w:id="764308733">
              <w:marLeft w:val="0"/>
              <w:marRight w:val="0"/>
              <w:marTop w:val="0"/>
              <w:marBottom w:val="0"/>
              <w:divBdr>
                <w:top w:val="none" w:sz="0" w:space="0" w:color="auto"/>
                <w:left w:val="none" w:sz="0" w:space="0" w:color="auto"/>
                <w:bottom w:val="none" w:sz="0" w:space="0" w:color="auto"/>
                <w:right w:val="none" w:sz="0" w:space="0" w:color="auto"/>
              </w:divBdr>
              <w:divsChild>
                <w:div w:id="6398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cuc.org/content/principles-effective-assessment-student-achievement" TargetMode="External"/><Relationship Id="rId13" Type="http://schemas.openxmlformats.org/officeDocument/2006/relationships/hyperlink" Target="https://www.wscuc.org/content/principles-effective-assessment-student-achievement" TargetMode="External"/><Relationship Id="rId3" Type="http://schemas.openxmlformats.org/officeDocument/2006/relationships/webSettings" Target="webSettings.xml"/><Relationship Id="rId7" Type="http://schemas.openxmlformats.org/officeDocument/2006/relationships/hyperlink" Target="http://www.chea.org/userfiles/PDFs/alliance-committing-to-quality.pdf" TargetMode="External"/><Relationship Id="rId12" Type="http://schemas.openxmlformats.org/officeDocument/2006/relationships/hyperlink" Target="http://www.chea.org/userfiles/PDFs/alliance-committing-to-qualit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8/02/23/opinion/sunday/colleges-measure-learning-outcomes.html?rref=collection%2Fcolumn%2Fmolly-worthen&amp;action=click&amp;contentCollection=opinion&amp;region=stream&amp;module=stream_unit&amp;version=latest&amp;contentPlacement=1&amp;pgtype=collection" TargetMode="External"/><Relationship Id="rId11" Type="http://schemas.openxmlformats.org/officeDocument/2006/relationships/hyperlink" Target="http://www.learningoutcomesassessment.org/documents/Kinzie_Jankowski_Provezis_AssessmentUpdate2014.pdf" TargetMode="External"/><Relationship Id="rId5" Type="http://schemas.openxmlformats.org/officeDocument/2006/relationships/hyperlink" Target="https://www.chronicle.com/article/An-Insider-s-Take-on/242235" TargetMode="External"/><Relationship Id="rId15" Type="http://schemas.openxmlformats.org/officeDocument/2006/relationships/theme" Target="theme/theme1.xml"/><Relationship Id="rId10" Type="http://schemas.openxmlformats.org/officeDocument/2006/relationships/hyperlink" Target="http://www.learningoutcomesassessment.org/documents/BraskampGuidelines.pdf" TargetMode="External"/><Relationship Id="rId4" Type="http://schemas.openxmlformats.org/officeDocument/2006/relationships/hyperlink" Target="http://learningoutcomesassessment.org/PrinciplesofAssessment.html" TargetMode="External"/><Relationship Id="rId9" Type="http://schemas.openxmlformats.org/officeDocument/2006/relationships/hyperlink" Target="http://www.learningoutcomesassessment.org/documents/Braskamp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2362</Words>
  <Characters>11931</Characters>
  <Application>Microsoft Office Word</Application>
  <DocSecurity>0</DocSecurity>
  <Lines>542</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Jamie Wigand</cp:lastModifiedBy>
  <cp:revision>2</cp:revision>
  <dcterms:created xsi:type="dcterms:W3CDTF">2019-11-08T13:19:00Z</dcterms:created>
  <dcterms:modified xsi:type="dcterms:W3CDTF">2019-11-08T13:19:00Z</dcterms:modified>
</cp:coreProperties>
</file>